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E879" w14:textId="0BB61159" w:rsidR="002E0D7C" w:rsidRPr="00E73F3C" w:rsidRDefault="009479B9" w:rsidP="00E73F3C">
      <w:pPr>
        <w:ind w:left="-284" w:right="-567"/>
        <w:jc w:val="center"/>
        <w:rPr>
          <w:b/>
        </w:rPr>
      </w:pPr>
      <w:r>
        <w:rPr>
          <w:b/>
        </w:rPr>
        <w:t>Sağlık Hizmetlerinde Tanıtım ve</w:t>
      </w:r>
      <w:r w:rsidRPr="00E73F3C">
        <w:rPr>
          <w:b/>
        </w:rPr>
        <w:t xml:space="preserve"> Bilgilendirme Faaliyetleri Hakkında Yönetmelik</w:t>
      </w:r>
    </w:p>
    <w:p w14:paraId="796E7146" w14:textId="77777777" w:rsidR="00E73F3C" w:rsidRDefault="00E73F3C" w:rsidP="00E73F3C">
      <w:pPr>
        <w:ind w:left="-284" w:right="-567"/>
        <w:jc w:val="center"/>
        <w:rPr>
          <w:b/>
        </w:rPr>
      </w:pPr>
      <w:r w:rsidRPr="00E73F3C">
        <w:rPr>
          <w:b/>
        </w:rPr>
        <w:t>BİLGİ NOTU</w:t>
      </w:r>
    </w:p>
    <w:p w14:paraId="4ED4870C" w14:textId="77777777" w:rsidR="009479B9" w:rsidRDefault="009479B9" w:rsidP="00E73F3C">
      <w:pPr>
        <w:ind w:left="-284" w:right="-567"/>
        <w:jc w:val="center"/>
        <w:rPr>
          <w:b/>
        </w:rPr>
      </w:pPr>
    </w:p>
    <w:p w14:paraId="62F7DA5D" w14:textId="77777777" w:rsidR="00B321BA" w:rsidRPr="00B321BA" w:rsidRDefault="00B321BA" w:rsidP="00E73F3C">
      <w:pPr>
        <w:ind w:left="-284" w:right="-567"/>
        <w:jc w:val="center"/>
        <w:rPr>
          <w:b/>
          <w:bCs/>
        </w:rPr>
      </w:pPr>
    </w:p>
    <w:p w14:paraId="1CFC8C6F" w14:textId="2A4C7374" w:rsidR="00E73F3C" w:rsidRDefault="00B321BA" w:rsidP="00B321BA">
      <w:pPr>
        <w:jc w:val="left"/>
        <w:rPr>
          <w:b/>
          <w:bCs/>
        </w:rPr>
      </w:pPr>
      <w:r w:rsidRPr="00B321BA">
        <w:rPr>
          <w:b/>
          <w:bCs/>
        </w:rPr>
        <w:t>“Tıbbi bilgimi hastaların yararı ve sağlığın geliştirilmesi için paylaşac</w:t>
      </w:r>
      <w:r w:rsidR="00941168">
        <w:rPr>
          <w:b/>
          <w:bCs/>
        </w:rPr>
        <w:t>a</w:t>
      </w:r>
      <w:r w:rsidRPr="00B321BA">
        <w:rPr>
          <w:b/>
          <w:bCs/>
        </w:rPr>
        <w:t>ğıma… Ant içerim”</w:t>
      </w:r>
      <w:r w:rsidRPr="00B321BA">
        <w:rPr>
          <w:rStyle w:val="DipnotBavurusu"/>
          <w:b/>
          <w:bCs/>
        </w:rPr>
        <w:footnoteReference w:id="1"/>
      </w:r>
    </w:p>
    <w:p w14:paraId="3A2D913E" w14:textId="77777777" w:rsidR="00B321BA" w:rsidRDefault="00B321BA" w:rsidP="00B321BA">
      <w:pPr>
        <w:jc w:val="left"/>
        <w:rPr>
          <w:b/>
          <w:bCs/>
        </w:rPr>
      </w:pPr>
    </w:p>
    <w:p w14:paraId="3C8B2BDF" w14:textId="77777777" w:rsidR="00B321BA" w:rsidRPr="00B321BA" w:rsidRDefault="00B321BA" w:rsidP="00B321BA">
      <w:pPr>
        <w:jc w:val="left"/>
        <w:rPr>
          <w:b/>
          <w:bCs/>
        </w:rPr>
      </w:pPr>
    </w:p>
    <w:p w14:paraId="43FC57D9" w14:textId="77777777" w:rsidR="003363F1" w:rsidRDefault="003363F1" w:rsidP="009479B9">
      <w:pPr>
        <w:ind w:right="-424"/>
      </w:pPr>
      <w:r>
        <w:t xml:space="preserve">Sağlık Bakanlığı, </w:t>
      </w:r>
      <w:r w:rsidR="00E73F3C">
        <w:t>Sağlık Hizmetlerinde Tanıtım ve Bilgilendirme Faaliyetleri Hakkında Yönetmeli</w:t>
      </w:r>
      <w:r>
        <w:t xml:space="preserve">ği 29.7.2023 tarihli </w:t>
      </w:r>
      <w:proofErr w:type="gramStart"/>
      <w:r>
        <w:t>Resmi</w:t>
      </w:r>
      <w:proofErr w:type="gramEnd"/>
      <w:r>
        <w:t xml:space="preserve"> </w:t>
      </w:r>
      <w:proofErr w:type="spellStart"/>
      <w:r>
        <w:t>Gazete’de</w:t>
      </w:r>
      <w:proofErr w:type="spellEnd"/>
      <w:r>
        <w:t xml:space="preserve"> yayımlayarak yürürlüğe koymuştur.</w:t>
      </w:r>
    </w:p>
    <w:p w14:paraId="4C7292D9" w14:textId="77777777" w:rsidR="003363F1" w:rsidRDefault="003363F1" w:rsidP="009479B9">
      <w:pPr>
        <w:ind w:right="-424"/>
      </w:pPr>
    </w:p>
    <w:p w14:paraId="5ABCA74D" w14:textId="06775A04" w:rsidR="00B35740" w:rsidRPr="00B35740" w:rsidRDefault="003363F1" w:rsidP="00B35740">
      <w:pPr>
        <w:pStyle w:val="ListeParagraf"/>
        <w:ind w:left="0" w:right="-424"/>
        <w:rPr>
          <w:iCs/>
        </w:rPr>
      </w:pPr>
      <w:r>
        <w:t>Yönetmelik</w:t>
      </w:r>
      <w:r w:rsidR="009479B9">
        <w:t>,</w:t>
      </w:r>
      <w:r w:rsidR="00860C74">
        <w:t xml:space="preserve"> </w:t>
      </w:r>
      <w:r w:rsidR="00CB5A98">
        <w:t>sağlık ile ilgili olarak kişi ve kuruluşların, dışa yönelik her türlü tanıtım</w:t>
      </w:r>
      <w:r>
        <w:t xml:space="preserve">, </w:t>
      </w:r>
      <w:r w:rsidR="00CB5A98">
        <w:t xml:space="preserve">bilgilendirme faaliyetlerinin sınırlarını, denetimini ve yaptırımlarını göstermektedir. </w:t>
      </w:r>
      <w:r w:rsidR="00B35740" w:rsidRPr="00B35740">
        <w:rPr>
          <w:iCs/>
        </w:rPr>
        <w:t xml:space="preserve">Yönetmelikte sayılan ilkelerin birçoğu, </w:t>
      </w:r>
      <w:r w:rsidR="00B35740">
        <w:rPr>
          <w:iCs/>
        </w:rPr>
        <w:t xml:space="preserve">hukuksal normlarda ve meslek etiği kurallarında bulunan ve </w:t>
      </w:r>
      <w:r w:rsidR="00B35740" w:rsidRPr="00B35740">
        <w:rPr>
          <w:iCs/>
        </w:rPr>
        <w:t>yürürlükte olan kurallardır.</w:t>
      </w:r>
      <w:r w:rsidR="00B35740">
        <w:rPr>
          <w:rStyle w:val="DipnotBavurusu"/>
          <w:iCs/>
        </w:rPr>
        <w:footnoteReference w:id="2"/>
      </w:r>
      <w:r w:rsidR="00B35740" w:rsidRPr="00B35740">
        <w:rPr>
          <w:iCs/>
        </w:rPr>
        <w:t xml:space="preserve"> </w:t>
      </w:r>
    </w:p>
    <w:p w14:paraId="4B30253F" w14:textId="77777777" w:rsidR="009479B9" w:rsidRDefault="009479B9" w:rsidP="009479B9">
      <w:pPr>
        <w:ind w:right="-424"/>
      </w:pPr>
    </w:p>
    <w:p w14:paraId="6E843573" w14:textId="07DA1353" w:rsidR="009479B9" w:rsidRDefault="009479B9" w:rsidP="009479B9">
      <w:pPr>
        <w:ind w:right="-424"/>
      </w:pPr>
      <w:r>
        <w:t xml:space="preserve">Bilgi </w:t>
      </w:r>
      <w:proofErr w:type="gramStart"/>
      <w:r>
        <w:t>notumuz</w:t>
      </w:r>
      <w:r w:rsidR="008049EC">
        <w:t>da</w:t>
      </w:r>
      <w:r w:rsidR="00A83FEB">
        <w:t xml:space="preserve">, </w:t>
      </w:r>
      <w:r w:rsidR="008049EC">
        <w:t xml:space="preserve"> </w:t>
      </w:r>
      <w:r>
        <w:t>alan</w:t>
      </w:r>
      <w:proofErr w:type="gramEnd"/>
      <w:r>
        <w:t xml:space="preserve"> ile ilişkili  normlar ışığında</w:t>
      </w:r>
      <w:r w:rsidR="00A83FEB">
        <w:t xml:space="preserve"> </w:t>
      </w:r>
      <w:r w:rsidR="00B35740">
        <w:t>Yönetmeliğin temel özelliklerine dair özet bilgiler</w:t>
      </w:r>
      <w:r>
        <w:t xml:space="preserve"> aktarılacaktır.  </w:t>
      </w:r>
      <w:r w:rsidR="00A83FEB">
        <w:t xml:space="preserve">Kanımızca </w:t>
      </w:r>
      <w:proofErr w:type="gramStart"/>
      <w:r>
        <w:t>Yönetmeliğin  geliştirilmesi</w:t>
      </w:r>
      <w:proofErr w:type="gramEnd"/>
      <w:r>
        <w:t xml:space="preserve"> ya da değiştirilmesi gereken hükümler</w:t>
      </w:r>
      <w:r w:rsidR="00B35740">
        <w:t>ine</w:t>
      </w:r>
      <w:r w:rsidR="00A83FEB">
        <w:t xml:space="preserve"> de yer yer değinilecektir.</w:t>
      </w:r>
    </w:p>
    <w:p w14:paraId="511772C7" w14:textId="77777777" w:rsidR="00B35740" w:rsidRDefault="00B35740" w:rsidP="00B35740">
      <w:pPr>
        <w:pStyle w:val="ListeParagraf"/>
        <w:ind w:left="1080" w:right="-424"/>
        <w:rPr>
          <w:b/>
          <w:bCs/>
        </w:rPr>
      </w:pPr>
    </w:p>
    <w:p w14:paraId="5DB63382" w14:textId="38BD96B3" w:rsidR="009479B9" w:rsidRPr="00B35740" w:rsidRDefault="008049EC" w:rsidP="00B35740">
      <w:pPr>
        <w:pStyle w:val="ListeParagraf"/>
        <w:numPr>
          <w:ilvl w:val="0"/>
          <w:numId w:val="10"/>
        </w:numPr>
        <w:ind w:right="-424"/>
        <w:jc w:val="center"/>
        <w:rPr>
          <w:b/>
          <w:bCs/>
        </w:rPr>
      </w:pPr>
      <w:r>
        <w:rPr>
          <w:b/>
          <w:bCs/>
        </w:rPr>
        <w:t>Genel Bilgiler</w:t>
      </w:r>
    </w:p>
    <w:p w14:paraId="14B364AA" w14:textId="77777777" w:rsidR="00B321BA" w:rsidRDefault="00B321BA" w:rsidP="009479B9">
      <w:pPr>
        <w:ind w:right="-424"/>
      </w:pPr>
    </w:p>
    <w:p w14:paraId="33771CA4" w14:textId="0B35F3D6" w:rsidR="00DC54D5" w:rsidRDefault="00B321BA" w:rsidP="009479B9">
      <w:pPr>
        <w:pStyle w:val="ListeParagraf"/>
        <w:numPr>
          <w:ilvl w:val="0"/>
          <w:numId w:val="5"/>
        </w:numPr>
        <w:ind w:left="0" w:right="-424" w:firstLine="0"/>
      </w:pPr>
      <w:r>
        <w:t>Sağlık meslek mensuplarını, sağlık kuruluşlarını</w:t>
      </w:r>
      <w:r w:rsidR="00CB5A98">
        <w:t xml:space="preserve">, </w:t>
      </w:r>
      <w:r>
        <w:t>sağlık alanında tanıtım, reklam yapan kurum ve kişileri kapsamaktadır.</w:t>
      </w:r>
      <w:r w:rsidR="00941168" w:rsidRPr="00941168">
        <w:t xml:space="preserve"> </w:t>
      </w:r>
      <w:r w:rsidR="00941168">
        <w:t>(Kamu sağlık kuruluşları kapsamda sayılmamıştır),</w:t>
      </w:r>
    </w:p>
    <w:p w14:paraId="5F212892" w14:textId="26E9AE20" w:rsidR="00C1576E" w:rsidRDefault="00C1576E" w:rsidP="009479B9">
      <w:pPr>
        <w:pStyle w:val="ListeParagraf"/>
        <w:numPr>
          <w:ilvl w:val="0"/>
          <w:numId w:val="5"/>
        </w:numPr>
        <w:ind w:left="0" w:right="-424" w:firstLine="0"/>
      </w:pPr>
      <w:r>
        <w:t>Sağlık alanında tanıtım ve bilgilendirme faaliyetleri</w:t>
      </w:r>
      <w:r w:rsidR="00CB5A98">
        <w:t>nin sınırlar</w:t>
      </w:r>
      <w:r w:rsidR="00B35740">
        <w:t>ı gösterilmektedir.</w:t>
      </w:r>
    </w:p>
    <w:p w14:paraId="393E329B" w14:textId="3E8A0971" w:rsidR="00B35740" w:rsidRDefault="00B35740" w:rsidP="00B35740">
      <w:pPr>
        <w:pStyle w:val="ListeParagraf"/>
        <w:numPr>
          <w:ilvl w:val="0"/>
          <w:numId w:val="5"/>
        </w:numPr>
        <w:ind w:left="0" w:right="-424" w:firstLine="0"/>
      </w:pPr>
      <w:r>
        <w:t>Sağlık alanında her türlü reklamın (açık ya da örtülü), kim tarafından yapılırsa yapılsın yasak olduğu belirtilmektedir</w:t>
      </w:r>
    </w:p>
    <w:p w14:paraId="49641A00" w14:textId="743A8B51" w:rsidR="00B35740" w:rsidRDefault="00B35740" w:rsidP="00B35740">
      <w:pPr>
        <w:pStyle w:val="ListeParagraf"/>
        <w:numPr>
          <w:ilvl w:val="0"/>
          <w:numId w:val="5"/>
        </w:numPr>
        <w:ind w:left="0" w:right="-424" w:firstLine="0"/>
      </w:pPr>
      <w:r>
        <w:t>Yönetmelik kapsamındaki faaliyetlerin hukuka uygun olabilmesi için;</w:t>
      </w:r>
    </w:p>
    <w:p w14:paraId="1A8B9771" w14:textId="18C2B063" w:rsidR="00B35740" w:rsidRPr="005706FC" w:rsidRDefault="00B35740" w:rsidP="00B35740">
      <w:pPr>
        <w:pStyle w:val="ListeParagraf"/>
        <w:numPr>
          <w:ilvl w:val="0"/>
          <w:numId w:val="11"/>
        </w:numPr>
        <w:ind w:right="-424"/>
      </w:pPr>
      <w:r w:rsidRPr="005706FC">
        <w:t xml:space="preserve">Sağlığı koruyucu ve geliştirme amacına yönelik olması. </w:t>
      </w:r>
    </w:p>
    <w:p w14:paraId="4E0922D5" w14:textId="4AF8F785" w:rsidR="00C1576E" w:rsidRPr="005706FC" w:rsidRDefault="00C1576E" w:rsidP="00B35740">
      <w:pPr>
        <w:pStyle w:val="ListeParagraf"/>
        <w:numPr>
          <w:ilvl w:val="0"/>
          <w:numId w:val="11"/>
        </w:numPr>
        <w:ind w:right="-424"/>
      </w:pPr>
      <w:r w:rsidRPr="005706FC">
        <w:t>Tıbbi deontoloji</w:t>
      </w:r>
      <w:r w:rsidRPr="005706FC">
        <w:rPr>
          <w:rStyle w:val="DipnotBavurusu"/>
        </w:rPr>
        <w:footnoteReference w:id="3"/>
      </w:r>
      <w:r w:rsidRPr="005706FC">
        <w:t xml:space="preserve"> ve varsa her sağlık mesleğine ilişkin mesleki etik kurallara ve “genel ahlaka” uygun ol</w:t>
      </w:r>
      <w:r w:rsidR="00B35740" w:rsidRPr="005706FC">
        <w:t>ma</w:t>
      </w:r>
      <w:r w:rsidR="0078761B" w:rsidRPr="005706FC">
        <w:t>sı</w:t>
      </w:r>
    </w:p>
    <w:p w14:paraId="22D715F8" w14:textId="711FB2F0" w:rsidR="00C1576E" w:rsidRPr="005706FC" w:rsidRDefault="0078761B" w:rsidP="00B35740">
      <w:pPr>
        <w:pStyle w:val="ListeParagraf"/>
        <w:numPr>
          <w:ilvl w:val="0"/>
          <w:numId w:val="11"/>
        </w:numPr>
        <w:ind w:right="-424"/>
      </w:pPr>
      <w:proofErr w:type="gramStart"/>
      <w:r w:rsidRPr="005706FC">
        <w:t>s</w:t>
      </w:r>
      <w:r w:rsidR="00C1576E" w:rsidRPr="005706FC">
        <w:t>unmaya</w:t>
      </w:r>
      <w:proofErr w:type="gramEnd"/>
      <w:r w:rsidR="00C1576E" w:rsidRPr="005706FC">
        <w:t xml:space="preserve"> yetkili ol</w:t>
      </w:r>
      <w:r w:rsidR="00B35740" w:rsidRPr="005706FC">
        <w:t>unan</w:t>
      </w:r>
      <w:r w:rsidR="00C1576E" w:rsidRPr="005706FC">
        <w:t xml:space="preserve"> sağlık hizmeti ile ilgili </w:t>
      </w:r>
      <w:r w:rsidR="00B35740" w:rsidRPr="005706FC">
        <w:t>olma</w:t>
      </w:r>
      <w:r w:rsidRPr="005706FC">
        <w:t>sı</w:t>
      </w:r>
      <w:r w:rsidR="00B35740" w:rsidRPr="005706FC">
        <w:t>.</w:t>
      </w:r>
    </w:p>
    <w:p w14:paraId="77B3989B" w14:textId="4E71A383" w:rsidR="00B35740" w:rsidRPr="008049EC" w:rsidRDefault="00B35740" w:rsidP="007A51F4">
      <w:pPr>
        <w:pStyle w:val="ListeParagraf"/>
        <w:numPr>
          <w:ilvl w:val="0"/>
          <w:numId w:val="4"/>
        </w:numPr>
        <w:ind w:left="0" w:right="-424" w:firstLine="0"/>
        <w:rPr>
          <w:iCs/>
        </w:rPr>
      </w:pPr>
      <w:r w:rsidRPr="005706FC">
        <w:t>Y</w:t>
      </w:r>
      <w:r w:rsidR="00C1576E" w:rsidRPr="005706FC">
        <w:t xml:space="preserve">anıltıcı, aldatıcı, talep ve haksız rekabet </w:t>
      </w:r>
      <w:r w:rsidRPr="005706FC">
        <w:t>yaratıcı olmama</w:t>
      </w:r>
      <w:r w:rsidR="0078761B" w:rsidRPr="005706FC">
        <w:t>sı koşulları</w:t>
      </w:r>
      <w:r w:rsidR="0078761B">
        <w:t xml:space="preserve"> aranmaktadır.</w:t>
      </w:r>
    </w:p>
    <w:p w14:paraId="19A46C75" w14:textId="7F883350" w:rsidR="008049EC" w:rsidRDefault="008049EC" w:rsidP="008049EC">
      <w:pPr>
        <w:pStyle w:val="ListeParagraf"/>
        <w:ind w:left="0" w:right="-424"/>
        <w:rPr>
          <w:iCs/>
        </w:rPr>
      </w:pPr>
      <w:r w:rsidRPr="00941168">
        <w:rPr>
          <w:iCs/>
        </w:rPr>
        <w:t>Yönetmelik</w:t>
      </w:r>
      <w:r>
        <w:rPr>
          <w:iCs/>
        </w:rPr>
        <w:t xml:space="preserve">te yer alan </w:t>
      </w:r>
      <w:r w:rsidRPr="00941168">
        <w:rPr>
          <w:iCs/>
        </w:rPr>
        <w:t>“</w:t>
      </w:r>
      <w:r w:rsidRPr="00941168">
        <w:rPr>
          <w:b/>
          <w:i/>
          <w:iCs/>
        </w:rPr>
        <w:t>genel ahlaka</w:t>
      </w:r>
      <w:r w:rsidRPr="00941168">
        <w:rPr>
          <w:iCs/>
        </w:rPr>
        <w:t>” uygunluk şartı</w:t>
      </w:r>
      <w:r w:rsidR="00A83FEB">
        <w:rPr>
          <w:iCs/>
        </w:rPr>
        <w:t>, belirlilik koşuluna aykırı,</w:t>
      </w:r>
      <w:r>
        <w:rPr>
          <w:iCs/>
        </w:rPr>
        <w:t xml:space="preserve"> kişiden kişiye </w:t>
      </w:r>
      <w:r w:rsidR="00A83FEB">
        <w:rPr>
          <w:iCs/>
        </w:rPr>
        <w:t>farklılaşan</w:t>
      </w:r>
      <w:r>
        <w:rPr>
          <w:iCs/>
        </w:rPr>
        <w:t xml:space="preserve">, keyfi yorum ve uygulamalara yol açabilecek niteliktedir. </w:t>
      </w:r>
      <w:r w:rsidRPr="00941168">
        <w:rPr>
          <w:iCs/>
        </w:rPr>
        <w:t xml:space="preserve"> </w:t>
      </w:r>
    </w:p>
    <w:p w14:paraId="40CBCD0D" w14:textId="77777777" w:rsidR="00A83FEB" w:rsidRDefault="008049EC" w:rsidP="008049EC">
      <w:pPr>
        <w:pStyle w:val="ListeParagraf"/>
        <w:numPr>
          <w:ilvl w:val="0"/>
          <w:numId w:val="5"/>
        </w:numPr>
        <w:ind w:right="-424"/>
        <w:rPr>
          <w:iCs/>
        </w:rPr>
      </w:pPr>
      <w:r w:rsidRPr="00A83FEB">
        <w:rPr>
          <w:bCs/>
          <w:iCs/>
        </w:rPr>
        <w:lastRenderedPageBreak/>
        <w:t>İnternet arama motorlarına sağlık tesisleri ve hekimler tarafından kayıt yaptırılabileceği</w:t>
      </w:r>
      <w:r w:rsidR="00A83FEB">
        <w:rPr>
          <w:iCs/>
        </w:rPr>
        <w:t xml:space="preserve">, </w:t>
      </w:r>
      <w:r w:rsidRPr="000F32E6">
        <w:rPr>
          <w:iCs/>
        </w:rPr>
        <w:t>kullanılacak anahtar kelimeler ve arama motorlarında çıkan sonuç s</w:t>
      </w:r>
      <w:r>
        <w:rPr>
          <w:iCs/>
        </w:rPr>
        <w:t xml:space="preserve">ayfasında yer alan tüm bilgilerin </w:t>
      </w:r>
      <w:r w:rsidRPr="000F32E6">
        <w:rPr>
          <w:iCs/>
        </w:rPr>
        <w:t>Yönetm</w:t>
      </w:r>
      <w:r>
        <w:rPr>
          <w:iCs/>
        </w:rPr>
        <w:t xml:space="preserve">elikteki ilkelere aykırı olamayacağı ifade edilmiştir. </w:t>
      </w:r>
    </w:p>
    <w:p w14:paraId="4FD18195" w14:textId="77777777" w:rsidR="00A83FEB" w:rsidRDefault="008049EC" w:rsidP="00A83FEB">
      <w:pPr>
        <w:pStyle w:val="ListeParagraf"/>
        <w:numPr>
          <w:ilvl w:val="0"/>
          <w:numId w:val="5"/>
        </w:numPr>
        <w:ind w:right="-424"/>
        <w:rPr>
          <w:iCs/>
        </w:rPr>
      </w:pPr>
      <w:r>
        <w:rPr>
          <w:iCs/>
        </w:rPr>
        <w:t xml:space="preserve">Görsel içerikli sponsorlu paylaşımlar yasaklanmıştır.  </w:t>
      </w:r>
    </w:p>
    <w:p w14:paraId="34F2DD1F" w14:textId="6419AEC6" w:rsidR="00A83FEB" w:rsidRDefault="008049EC" w:rsidP="00A83FEB">
      <w:pPr>
        <w:pStyle w:val="ListeParagraf"/>
        <w:numPr>
          <w:ilvl w:val="0"/>
          <w:numId w:val="5"/>
        </w:numPr>
        <w:ind w:right="-424"/>
        <w:rPr>
          <w:iCs/>
        </w:rPr>
      </w:pPr>
      <w:r w:rsidRPr="00A83FEB">
        <w:rPr>
          <w:iCs/>
        </w:rPr>
        <w:t>Başka mecralarda yapılmış olsa dahi görsel içeriklere ilişkin yapılan hasta yorumları veya teşekkür ilanı anlamına gelecek ifadelerin paylaşımı yasaklan</w:t>
      </w:r>
      <w:r w:rsidR="00A83FEB">
        <w:rPr>
          <w:iCs/>
        </w:rPr>
        <w:t xml:space="preserve">mıştır. </w:t>
      </w:r>
    </w:p>
    <w:p w14:paraId="0053FB6B" w14:textId="1CA88B26" w:rsidR="00A83FEB" w:rsidRPr="00A83FEB" w:rsidRDefault="00A83FEB" w:rsidP="00A83FEB">
      <w:pPr>
        <w:pStyle w:val="ListeParagraf"/>
        <w:numPr>
          <w:ilvl w:val="0"/>
          <w:numId w:val="5"/>
        </w:numPr>
        <w:ind w:right="-424"/>
        <w:rPr>
          <w:iCs/>
        </w:rPr>
      </w:pPr>
      <w:r w:rsidRPr="00A83FEB">
        <w:rPr>
          <w:iCs/>
        </w:rPr>
        <w:t xml:space="preserve">Sağlık hizmetlerine yönelik olarak yürütülecek sosyal sorumluluk projeleri ve kampanyalar kapsamında yapılacak bilgilendirme faaliyetleri öncesinde Bakanlıktan izin alınması zorunlu tutulmuştur. </w:t>
      </w:r>
    </w:p>
    <w:p w14:paraId="68906AB4" w14:textId="53604794" w:rsidR="00A83FEB" w:rsidRPr="00A83FEB" w:rsidRDefault="00A83FEB" w:rsidP="00A83FEB">
      <w:pPr>
        <w:pStyle w:val="ListeParagraf"/>
        <w:numPr>
          <w:ilvl w:val="0"/>
          <w:numId w:val="5"/>
        </w:numPr>
        <w:ind w:right="-424"/>
        <w:rPr>
          <w:iCs/>
        </w:rPr>
      </w:pPr>
      <w:r w:rsidRPr="00A83FEB">
        <w:rPr>
          <w:iCs/>
        </w:rPr>
        <w:t xml:space="preserve">Yönetmeliğe aykırı bilgilendirmede bulunanlar ile bunları paylaşanların aynı derecede sorumlu olduğu ifade edilmiştir. </w:t>
      </w:r>
    </w:p>
    <w:p w14:paraId="658E9293" w14:textId="4A564420" w:rsidR="008049EC" w:rsidRPr="00A83FEB" w:rsidRDefault="00A83FEB" w:rsidP="00A83FEB">
      <w:pPr>
        <w:ind w:right="-424"/>
        <w:rPr>
          <w:iCs/>
        </w:rPr>
      </w:pPr>
      <w:r w:rsidRPr="00A83FEB">
        <w:rPr>
          <w:iCs/>
        </w:rPr>
        <w:t>G</w:t>
      </w:r>
      <w:r w:rsidR="008049EC" w:rsidRPr="00A83FEB">
        <w:rPr>
          <w:iCs/>
        </w:rPr>
        <w:t xml:space="preserve">örsel içerikli paylaşımların başkaları tarafından yapılmasının sorumluluğu ortadan kaldırmaması, sponsorlu veya ücret karşılığı gönderi paylaşımının yasaklanması Yönetmeliğin sosyal medyada bilgilendirme kurallarının somut uygulaması yönünden getirdiği önemli </w:t>
      </w:r>
      <w:r>
        <w:rPr>
          <w:iCs/>
        </w:rPr>
        <w:t xml:space="preserve">ölçütler </w:t>
      </w:r>
      <w:r w:rsidR="008049EC" w:rsidRPr="00A83FEB">
        <w:rPr>
          <w:iCs/>
        </w:rPr>
        <w:t xml:space="preserve">olduğu değerlendirilmektedir. </w:t>
      </w:r>
    </w:p>
    <w:p w14:paraId="74FC3AE3" w14:textId="77777777" w:rsidR="008049EC" w:rsidRPr="00B35740" w:rsidRDefault="008049EC" w:rsidP="008049EC">
      <w:pPr>
        <w:pStyle w:val="ListeParagraf"/>
        <w:ind w:left="0" w:right="-424"/>
        <w:rPr>
          <w:iCs/>
        </w:rPr>
      </w:pPr>
    </w:p>
    <w:p w14:paraId="41C4E46F" w14:textId="77777777" w:rsidR="0078761B" w:rsidRDefault="0078761B" w:rsidP="0078761B">
      <w:pPr>
        <w:pStyle w:val="ListeParagraf"/>
        <w:ind w:left="0" w:right="-424"/>
        <w:rPr>
          <w:iCs/>
          <w:highlight w:val="cyan"/>
        </w:rPr>
      </w:pPr>
    </w:p>
    <w:p w14:paraId="2BBAAC6C" w14:textId="4C021177" w:rsidR="005F1FF4" w:rsidRPr="005F1FF4" w:rsidRDefault="00A83FEB" w:rsidP="00A83FEB">
      <w:pPr>
        <w:jc w:val="center"/>
      </w:pPr>
      <w:r w:rsidRPr="005706FC">
        <w:rPr>
          <w:b/>
          <w:bCs/>
          <w:iCs/>
        </w:rPr>
        <w:t>II-</w:t>
      </w:r>
      <w:r w:rsidR="0078761B" w:rsidRPr="005706FC">
        <w:rPr>
          <w:b/>
          <w:bCs/>
          <w:iCs/>
        </w:rPr>
        <w:t xml:space="preserve">Görsel </w:t>
      </w:r>
      <w:r w:rsidRPr="005706FC">
        <w:rPr>
          <w:b/>
          <w:bCs/>
          <w:iCs/>
        </w:rPr>
        <w:t>İ</w:t>
      </w:r>
      <w:r w:rsidR="0078761B" w:rsidRPr="005706FC">
        <w:rPr>
          <w:b/>
          <w:bCs/>
          <w:iCs/>
        </w:rPr>
        <w:t xml:space="preserve">çerik </w:t>
      </w:r>
      <w:r w:rsidRPr="005706FC">
        <w:rPr>
          <w:b/>
          <w:bCs/>
          <w:iCs/>
        </w:rPr>
        <w:t>K</w:t>
      </w:r>
      <w:r w:rsidR="0078761B" w:rsidRPr="005706FC">
        <w:rPr>
          <w:b/>
          <w:bCs/>
          <w:iCs/>
        </w:rPr>
        <w:t>ullanımı:</w:t>
      </w:r>
    </w:p>
    <w:p w14:paraId="5588E0E2" w14:textId="77777777" w:rsidR="00E6111F" w:rsidRDefault="003011E8" w:rsidP="00E6111F">
      <w:pPr>
        <w:rPr>
          <w:iCs/>
        </w:rPr>
      </w:pPr>
      <w:r w:rsidRPr="005F1FF4">
        <w:rPr>
          <w:iCs/>
        </w:rPr>
        <w:t>Yönetmeli</w:t>
      </w:r>
      <w:r w:rsidR="00A83FEB">
        <w:rPr>
          <w:iCs/>
        </w:rPr>
        <w:t>k</w:t>
      </w:r>
      <w:r w:rsidR="00E6111F">
        <w:rPr>
          <w:iCs/>
        </w:rPr>
        <w:t>te,</w:t>
      </w:r>
      <w:r w:rsidR="001726AC" w:rsidRPr="005F1FF4">
        <w:rPr>
          <w:iCs/>
        </w:rPr>
        <w:t xml:space="preserve"> </w:t>
      </w:r>
      <w:r w:rsidR="00E6111F">
        <w:rPr>
          <w:iCs/>
        </w:rPr>
        <w:t xml:space="preserve">tanıtım ve bilgilendirme faaliyetlerinin </w:t>
      </w:r>
      <w:proofErr w:type="gramStart"/>
      <w:r w:rsidRPr="005F1FF4">
        <w:rPr>
          <w:iCs/>
        </w:rPr>
        <w:t>sağlığı  koru</w:t>
      </w:r>
      <w:r w:rsidR="00B548EE" w:rsidRPr="005F1FF4">
        <w:rPr>
          <w:iCs/>
        </w:rPr>
        <w:t>ma</w:t>
      </w:r>
      <w:proofErr w:type="gramEnd"/>
      <w:r w:rsidR="00B548EE" w:rsidRPr="005F1FF4">
        <w:rPr>
          <w:iCs/>
        </w:rPr>
        <w:t xml:space="preserve"> </w:t>
      </w:r>
      <w:r w:rsidRPr="005F1FF4">
        <w:rPr>
          <w:iCs/>
        </w:rPr>
        <w:t xml:space="preserve"> ve geliştir</w:t>
      </w:r>
      <w:r w:rsidR="00B548EE" w:rsidRPr="005F1FF4">
        <w:rPr>
          <w:iCs/>
        </w:rPr>
        <w:t xml:space="preserve">me amacıyla </w:t>
      </w:r>
      <w:r w:rsidR="00E6111F">
        <w:rPr>
          <w:iCs/>
        </w:rPr>
        <w:t xml:space="preserve">yapılması düzenlenmiştir. Görsel içeriğin kullanılmasına ilişkin ifadeler, uygulamayı </w:t>
      </w:r>
      <w:proofErr w:type="gramStart"/>
      <w:r w:rsidR="00E6111F">
        <w:rPr>
          <w:iCs/>
        </w:rPr>
        <w:t>gösterme,  belirlilik</w:t>
      </w:r>
      <w:proofErr w:type="gramEnd"/>
      <w:r w:rsidR="00E6111F">
        <w:rPr>
          <w:iCs/>
        </w:rPr>
        <w:t xml:space="preserve"> ilkesine uygunluk bakımından yeterli açıklıkta olmadığı düşünülmektedir. Bununla </w:t>
      </w:r>
      <w:proofErr w:type="gramStart"/>
      <w:r w:rsidR="00E6111F">
        <w:rPr>
          <w:iCs/>
        </w:rPr>
        <w:t xml:space="preserve">birlikte  </w:t>
      </w:r>
      <w:r w:rsidR="00B548EE" w:rsidRPr="005F1FF4">
        <w:rPr>
          <w:iCs/>
        </w:rPr>
        <w:t>2500</w:t>
      </w:r>
      <w:proofErr w:type="gramEnd"/>
      <w:r w:rsidR="00B548EE" w:rsidRPr="005F1FF4">
        <w:rPr>
          <w:iCs/>
        </w:rPr>
        <w:t xml:space="preserve"> yıldır sürekli geliştirilen, yaşayan belge olan Hekimlik Andında </w:t>
      </w:r>
      <w:r w:rsidR="00B548EE" w:rsidRPr="005F1FF4">
        <w:rPr>
          <w:b/>
          <w:bCs/>
        </w:rPr>
        <w:t xml:space="preserve">“Tıbbi bilgimi hastaların yararı ve sağlığın geliştirilmesi için paylaşacağım” </w:t>
      </w:r>
      <w:r w:rsidR="00B548EE" w:rsidRPr="00B548EE">
        <w:t>sözü</w:t>
      </w:r>
      <w:r w:rsidR="00E6111F">
        <w:t xml:space="preserve"> konunun özüne ışık tutmaktadır. </w:t>
      </w:r>
      <w:r w:rsidR="00E6111F">
        <w:rPr>
          <w:iCs/>
        </w:rPr>
        <w:t>S</w:t>
      </w:r>
      <w:r w:rsidR="00B548EE" w:rsidRPr="005F1FF4">
        <w:rPr>
          <w:iCs/>
        </w:rPr>
        <w:t xml:space="preserve">ağlık alanında bilgi paylaşımı </w:t>
      </w:r>
      <w:r w:rsidRPr="005F1FF4">
        <w:rPr>
          <w:iCs/>
        </w:rPr>
        <w:t xml:space="preserve">Anayasa’nın 127. Maddesinde düzenlenen bilim ve sanatı öğrenme, öğretme, yayma hakkı, </w:t>
      </w:r>
      <w:r w:rsidR="00E6111F">
        <w:rPr>
          <w:iCs/>
        </w:rPr>
        <w:t xml:space="preserve">17. Maddesindeki </w:t>
      </w:r>
      <w:r w:rsidR="00C81907" w:rsidRPr="005F1FF4">
        <w:rPr>
          <w:iCs/>
        </w:rPr>
        <w:t>kişinin maddi ve manevi varlığını koruma, geliştirme,</w:t>
      </w:r>
      <w:r w:rsidR="00E6111F">
        <w:rPr>
          <w:iCs/>
        </w:rPr>
        <w:t xml:space="preserve"> 20. </w:t>
      </w:r>
      <w:proofErr w:type="gramStart"/>
      <w:r w:rsidR="00E6111F">
        <w:rPr>
          <w:iCs/>
        </w:rPr>
        <w:t xml:space="preserve">Maddesindeki </w:t>
      </w:r>
      <w:r w:rsidR="00C81907" w:rsidRPr="005F1FF4">
        <w:rPr>
          <w:iCs/>
        </w:rPr>
        <w:t xml:space="preserve"> özel</w:t>
      </w:r>
      <w:proofErr w:type="gramEnd"/>
      <w:r w:rsidR="00C81907" w:rsidRPr="005F1FF4">
        <w:rPr>
          <w:iCs/>
        </w:rPr>
        <w:t xml:space="preserve"> hayatın gizliliği,</w:t>
      </w:r>
      <w:r w:rsidR="00B548EE" w:rsidRPr="005F1FF4">
        <w:rPr>
          <w:iCs/>
        </w:rPr>
        <w:t xml:space="preserve"> </w:t>
      </w:r>
      <w:r w:rsidR="00E6111F">
        <w:rPr>
          <w:iCs/>
        </w:rPr>
        <w:t xml:space="preserve">56. Maddesindeki </w:t>
      </w:r>
      <w:r w:rsidRPr="005F1FF4">
        <w:rPr>
          <w:iCs/>
        </w:rPr>
        <w:t>sağlık hakkı</w:t>
      </w:r>
      <w:r w:rsidR="00C81907" w:rsidRPr="005F1FF4">
        <w:rPr>
          <w:iCs/>
        </w:rPr>
        <w:t xml:space="preserve"> ile yakından bağlantılı</w:t>
      </w:r>
      <w:r w:rsidR="00B548EE" w:rsidRPr="005F1FF4">
        <w:rPr>
          <w:iCs/>
        </w:rPr>
        <w:t xml:space="preserve">dır. </w:t>
      </w:r>
      <w:r w:rsidR="00C81907" w:rsidRPr="005F1FF4">
        <w:rPr>
          <w:iCs/>
        </w:rPr>
        <w:t xml:space="preserve"> Bu nedenle de uygulamayı gösteren ölçütler</w:t>
      </w:r>
      <w:r w:rsidR="00E6111F">
        <w:rPr>
          <w:iCs/>
        </w:rPr>
        <w:t>in</w:t>
      </w:r>
      <w:r w:rsidR="00C81907" w:rsidRPr="005F1FF4">
        <w:rPr>
          <w:iCs/>
        </w:rPr>
        <w:t xml:space="preserve"> getirilmesi olağandır. </w:t>
      </w:r>
    </w:p>
    <w:p w14:paraId="6424FAA8" w14:textId="77777777" w:rsidR="00E6111F" w:rsidRDefault="00E6111F" w:rsidP="00E6111F">
      <w:pPr>
        <w:rPr>
          <w:iCs/>
        </w:rPr>
      </w:pPr>
    </w:p>
    <w:p w14:paraId="4D62A92E" w14:textId="15537A98" w:rsidR="00C81907" w:rsidRDefault="00E6111F" w:rsidP="00E6111F">
      <w:pPr>
        <w:rPr>
          <w:iCs/>
        </w:rPr>
      </w:pPr>
      <w:r>
        <w:rPr>
          <w:iCs/>
        </w:rPr>
        <w:t xml:space="preserve">Sağlık alanında bilgilendirme ve tanıtım faaliyetlerinin en çok da kişisel verilerin gizliliği hakkı </w:t>
      </w:r>
      <w:proofErr w:type="gramStart"/>
      <w:r>
        <w:rPr>
          <w:iCs/>
        </w:rPr>
        <w:t>ile birlikte</w:t>
      </w:r>
      <w:proofErr w:type="gramEnd"/>
      <w:r>
        <w:rPr>
          <w:iCs/>
        </w:rPr>
        <w:t xml:space="preserve"> düşünülmesi gerekmektedir. </w:t>
      </w:r>
      <w:r w:rsidR="00C81907">
        <w:rPr>
          <w:iCs/>
        </w:rPr>
        <w:t>Kişisel Verileri Koruma Kurulu, oldukça yakın tarihli bir kararında</w:t>
      </w:r>
      <w:r w:rsidR="00CB5A98">
        <w:rPr>
          <w:rStyle w:val="DipnotBavurusu"/>
          <w:iCs/>
        </w:rPr>
        <w:footnoteReference w:id="4"/>
      </w:r>
      <w:r w:rsidR="00C81907">
        <w:rPr>
          <w:iCs/>
        </w:rPr>
        <w:t xml:space="preserve"> bir özel hastane ve hekim tarafından</w:t>
      </w:r>
      <w:r w:rsidR="005706FC">
        <w:rPr>
          <w:iCs/>
        </w:rPr>
        <w:t>,</w:t>
      </w:r>
      <w:r w:rsidR="00C81907">
        <w:rPr>
          <w:iCs/>
        </w:rPr>
        <w:t xml:space="preserve"> yazılı iz</w:t>
      </w:r>
      <w:r w:rsidR="00B548EE">
        <w:rPr>
          <w:iCs/>
        </w:rPr>
        <w:t xml:space="preserve">ni alınan bir </w:t>
      </w:r>
      <w:proofErr w:type="gramStart"/>
      <w:r w:rsidR="00B548EE">
        <w:rPr>
          <w:iCs/>
        </w:rPr>
        <w:t>hastanın</w:t>
      </w:r>
      <w:r w:rsidR="00C81907">
        <w:rPr>
          <w:iCs/>
        </w:rPr>
        <w:t xml:space="preserve"> </w:t>
      </w:r>
      <w:r w:rsidR="00B548EE">
        <w:rPr>
          <w:iCs/>
        </w:rPr>
        <w:t xml:space="preserve"> </w:t>
      </w:r>
      <w:r w:rsidR="00C81907">
        <w:rPr>
          <w:iCs/>
        </w:rPr>
        <w:t>tanı</w:t>
      </w:r>
      <w:proofErr w:type="gramEnd"/>
      <w:r w:rsidR="00C81907">
        <w:rPr>
          <w:iCs/>
        </w:rPr>
        <w:t xml:space="preserve"> ve tedavisine ilişkin </w:t>
      </w:r>
      <w:r w:rsidR="00B548EE">
        <w:rPr>
          <w:iCs/>
        </w:rPr>
        <w:t xml:space="preserve">bilgilerinin ve </w:t>
      </w:r>
      <w:r w:rsidR="00C81907">
        <w:rPr>
          <w:iCs/>
        </w:rPr>
        <w:t>görsel</w:t>
      </w:r>
      <w:r w:rsidR="00B548EE">
        <w:rPr>
          <w:iCs/>
        </w:rPr>
        <w:t>lerinin</w:t>
      </w:r>
      <w:r w:rsidR="00C81907">
        <w:rPr>
          <w:iCs/>
        </w:rPr>
        <w:t xml:space="preserve"> kullan</w:t>
      </w:r>
      <w:r w:rsidR="00B548EE">
        <w:rPr>
          <w:iCs/>
        </w:rPr>
        <w:t>ılmasını</w:t>
      </w:r>
      <w:r w:rsidR="003B0B1F">
        <w:rPr>
          <w:iCs/>
        </w:rPr>
        <w:t xml:space="preserve"> hukuka aykırı bulmuştur</w:t>
      </w:r>
      <w:r w:rsidR="00C81907">
        <w:rPr>
          <w:iCs/>
        </w:rPr>
        <w:t>.</w:t>
      </w:r>
      <w:r w:rsidR="001F0949">
        <w:rPr>
          <w:iCs/>
        </w:rPr>
        <w:t xml:space="preserve"> </w:t>
      </w:r>
      <w:r w:rsidR="00017C4C">
        <w:rPr>
          <w:iCs/>
        </w:rPr>
        <w:t xml:space="preserve">250.000 TL idari para cezası yanında, görsellerin silinmesi, hukuka aykırı işleme faaliyetinin durdurulması, </w:t>
      </w:r>
      <w:r w:rsidR="005706FC">
        <w:rPr>
          <w:iCs/>
        </w:rPr>
        <w:t xml:space="preserve">Kurul </w:t>
      </w:r>
      <w:r w:rsidR="00017C4C">
        <w:rPr>
          <w:iCs/>
        </w:rPr>
        <w:t xml:space="preserve">kararın </w:t>
      </w:r>
      <w:proofErr w:type="gramStart"/>
      <w:r w:rsidR="00017C4C">
        <w:rPr>
          <w:iCs/>
        </w:rPr>
        <w:t>yayı</w:t>
      </w:r>
      <w:r w:rsidR="005706FC">
        <w:rPr>
          <w:iCs/>
        </w:rPr>
        <w:t>m</w:t>
      </w:r>
      <w:r w:rsidR="00017C4C">
        <w:rPr>
          <w:iCs/>
        </w:rPr>
        <w:t>lanması  ve</w:t>
      </w:r>
      <w:proofErr w:type="gramEnd"/>
      <w:r w:rsidR="00017C4C">
        <w:rPr>
          <w:iCs/>
        </w:rPr>
        <w:t xml:space="preserve"> ilgili üçüncü kişilere bildirilmesine karar vermiştir. </w:t>
      </w:r>
      <w:r w:rsidR="001F0949">
        <w:rPr>
          <w:iCs/>
        </w:rPr>
        <w:t>Kurul</w:t>
      </w:r>
      <w:r w:rsidR="00017C4C">
        <w:rPr>
          <w:iCs/>
        </w:rPr>
        <w:t xml:space="preserve"> kararında</w:t>
      </w:r>
      <w:r w:rsidR="001F0949">
        <w:rPr>
          <w:iCs/>
        </w:rPr>
        <w:t>;</w:t>
      </w:r>
    </w:p>
    <w:p w14:paraId="4A4122E8" w14:textId="1B1A7B4D" w:rsidR="001F0949" w:rsidRDefault="001F0949" w:rsidP="009479B9">
      <w:pPr>
        <w:pStyle w:val="ListeParagraf"/>
        <w:numPr>
          <w:ilvl w:val="0"/>
          <w:numId w:val="9"/>
        </w:numPr>
        <w:ind w:left="0" w:right="-424" w:firstLine="0"/>
        <w:rPr>
          <w:iCs/>
        </w:rPr>
      </w:pPr>
      <w:r>
        <w:rPr>
          <w:iCs/>
        </w:rPr>
        <w:t xml:space="preserve">Hastanın görsellerinin ve aldığı sağlık hizmetine ilişkin verilerinin kullanılmasına muvafakat etmesinin tek başına verilerin </w:t>
      </w:r>
      <w:proofErr w:type="gramStart"/>
      <w:r>
        <w:rPr>
          <w:iCs/>
        </w:rPr>
        <w:t>paylaşılmasını  hukuka</w:t>
      </w:r>
      <w:proofErr w:type="gramEnd"/>
      <w:r>
        <w:rPr>
          <w:iCs/>
        </w:rPr>
        <w:t xml:space="preserve"> uygun hale getirmeyeceği</w:t>
      </w:r>
      <w:r w:rsidR="00017C4C">
        <w:rPr>
          <w:iCs/>
        </w:rPr>
        <w:t>ni</w:t>
      </w:r>
      <w:r>
        <w:rPr>
          <w:iCs/>
        </w:rPr>
        <w:t>,</w:t>
      </w:r>
    </w:p>
    <w:p w14:paraId="23CCE44C" w14:textId="6626399C" w:rsidR="001F0949" w:rsidRDefault="00C81907" w:rsidP="009479B9">
      <w:pPr>
        <w:pStyle w:val="ListeParagraf"/>
        <w:numPr>
          <w:ilvl w:val="0"/>
          <w:numId w:val="9"/>
        </w:numPr>
        <w:ind w:left="0" w:right="-424" w:firstLine="0"/>
        <w:rPr>
          <w:iCs/>
        </w:rPr>
      </w:pPr>
      <w:r w:rsidRPr="001F0949">
        <w:rPr>
          <w:iCs/>
        </w:rPr>
        <w:t>Kişisel Verileri Koruma Kanunu</w:t>
      </w:r>
      <w:r w:rsidR="001F0949" w:rsidRPr="001F0949">
        <w:rPr>
          <w:iCs/>
        </w:rPr>
        <w:t xml:space="preserve"> uyarınca </w:t>
      </w:r>
      <w:r w:rsidRPr="001F0949">
        <w:rPr>
          <w:iCs/>
        </w:rPr>
        <w:t>kişisel veriler</w:t>
      </w:r>
      <w:r w:rsidR="001F0949">
        <w:rPr>
          <w:iCs/>
        </w:rPr>
        <w:t xml:space="preserve">i işleme faaliyetinin hukuka ve dürüstlük kuralların uygun olma ölçütünün, o alanla </w:t>
      </w:r>
      <w:proofErr w:type="gramStart"/>
      <w:r w:rsidR="001F0949">
        <w:rPr>
          <w:iCs/>
        </w:rPr>
        <w:t>ilgili  bütün</w:t>
      </w:r>
      <w:proofErr w:type="gramEnd"/>
      <w:r w:rsidR="001F0949">
        <w:rPr>
          <w:iCs/>
        </w:rPr>
        <w:t xml:space="preserve"> hukuk normlarına ve evrensel hukuk ilkelerine uygunluk olarak anlaş</w:t>
      </w:r>
      <w:r w:rsidR="003B0B1F">
        <w:rPr>
          <w:iCs/>
        </w:rPr>
        <w:t>ılacağını</w:t>
      </w:r>
      <w:r w:rsidR="001F0949">
        <w:rPr>
          <w:iCs/>
        </w:rPr>
        <w:t>, bu nedenle insan hakları, sağlık  mevzuatı,</w:t>
      </w:r>
      <w:r w:rsidR="00017C4C">
        <w:rPr>
          <w:iCs/>
        </w:rPr>
        <w:t xml:space="preserve"> </w:t>
      </w:r>
      <w:r w:rsidR="001F0949">
        <w:rPr>
          <w:iCs/>
        </w:rPr>
        <w:t>meslek etiği  ile ilgili bütün normların bütüncül olarak değerlendirilmesi</w:t>
      </w:r>
      <w:r w:rsidR="00776375">
        <w:rPr>
          <w:iCs/>
        </w:rPr>
        <w:t xml:space="preserve"> gerektiğini, </w:t>
      </w:r>
    </w:p>
    <w:p w14:paraId="3E3694E3" w14:textId="3FB41B54" w:rsidR="00C81907" w:rsidRDefault="001F0949" w:rsidP="009479B9">
      <w:pPr>
        <w:pStyle w:val="ListeParagraf"/>
        <w:numPr>
          <w:ilvl w:val="0"/>
          <w:numId w:val="9"/>
        </w:numPr>
        <w:ind w:left="0" w:right="-424" w:firstLine="0"/>
        <w:rPr>
          <w:iCs/>
        </w:rPr>
      </w:pPr>
      <w:r w:rsidRPr="001F0949">
        <w:rPr>
          <w:iCs/>
        </w:rPr>
        <w:t xml:space="preserve">İşleme amacının hukuka uygun ve meşru </w:t>
      </w:r>
      <w:proofErr w:type="gramStart"/>
      <w:r w:rsidRPr="001F0949">
        <w:rPr>
          <w:iCs/>
        </w:rPr>
        <w:t xml:space="preserve">olması, </w:t>
      </w:r>
      <w:r w:rsidR="00C81907" w:rsidRPr="001F0949">
        <w:rPr>
          <w:iCs/>
        </w:rPr>
        <w:t xml:space="preserve"> işlendikleri</w:t>
      </w:r>
      <w:proofErr w:type="gramEnd"/>
      <w:r w:rsidR="00C81907" w:rsidRPr="001F0949">
        <w:rPr>
          <w:iCs/>
        </w:rPr>
        <w:t xml:space="preserve"> amaçla</w:t>
      </w:r>
      <w:r w:rsidRPr="001F0949">
        <w:rPr>
          <w:iCs/>
        </w:rPr>
        <w:t xml:space="preserve"> bağlantılı,</w:t>
      </w:r>
      <w:r w:rsidR="00C81907" w:rsidRPr="001F0949">
        <w:rPr>
          <w:iCs/>
        </w:rPr>
        <w:t xml:space="preserve"> sınırlı </w:t>
      </w:r>
      <w:r w:rsidRPr="001F0949">
        <w:rPr>
          <w:iCs/>
        </w:rPr>
        <w:t>ve ölçülü olması, işlenen verilerin belirlenen amacın gerçekleştirilmesine elverişli olması, amacın gerçekleştirilmesi ile ilgisiz veya ihtiyaç duyulmayan verilerin işlenmesi</w:t>
      </w:r>
      <w:r w:rsidR="00776375">
        <w:rPr>
          <w:iCs/>
        </w:rPr>
        <w:t>nin talep yaratmaya dönük örtülü reklam olduğu,</w:t>
      </w:r>
    </w:p>
    <w:p w14:paraId="688CCC48" w14:textId="77777777" w:rsidR="005706FC" w:rsidRDefault="00776375" w:rsidP="005706FC">
      <w:pPr>
        <w:pStyle w:val="ListeParagraf"/>
        <w:numPr>
          <w:ilvl w:val="0"/>
          <w:numId w:val="9"/>
        </w:numPr>
        <w:ind w:left="0" w:right="-424" w:firstLine="0"/>
        <w:rPr>
          <w:iCs/>
        </w:rPr>
      </w:pPr>
      <w:r w:rsidRPr="00776375">
        <w:rPr>
          <w:iCs/>
        </w:rPr>
        <w:t xml:space="preserve">Hastalıklar konusunda toplumu bilgilendirmenin hastalara ait görsellerin kullanılması dışında alternatif yollarının bulunduğu, sağlığı koruyucu ve geliştirici </w:t>
      </w:r>
      <w:r>
        <w:rPr>
          <w:iCs/>
        </w:rPr>
        <w:t>bilgileri topluma vermek için hastaların görsellerinin kullanılmasının zorunlu olması hallerinde de salt bu amacı gerçekleştirecek ölçüde işleme yapılabileceği</w:t>
      </w:r>
      <w:r w:rsidR="00017C4C">
        <w:rPr>
          <w:iCs/>
        </w:rPr>
        <w:t xml:space="preserve">ni </w:t>
      </w:r>
      <w:r>
        <w:rPr>
          <w:iCs/>
        </w:rPr>
        <w:t xml:space="preserve">belirtmiştir. </w:t>
      </w:r>
    </w:p>
    <w:p w14:paraId="5A2683CA" w14:textId="77777777" w:rsidR="005706FC" w:rsidRDefault="005706FC" w:rsidP="005706FC">
      <w:pPr>
        <w:pStyle w:val="ListeParagraf"/>
        <w:numPr>
          <w:ilvl w:val="0"/>
          <w:numId w:val="9"/>
        </w:numPr>
        <w:ind w:left="0" w:right="-424" w:firstLine="0"/>
        <w:rPr>
          <w:iCs/>
        </w:rPr>
      </w:pPr>
      <w:r w:rsidRPr="005706FC">
        <w:rPr>
          <w:iCs/>
        </w:rPr>
        <w:t xml:space="preserve">Yönetmelik </w:t>
      </w:r>
      <w:proofErr w:type="gramStart"/>
      <w:r w:rsidRPr="005706FC">
        <w:rPr>
          <w:iCs/>
        </w:rPr>
        <w:t>ekinde</w:t>
      </w:r>
      <w:r>
        <w:rPr>
          <w:iCs/>
        </w:rPr>
        <w:t xml:space="preserve">  görsel</w:t>
      </w:r>
      <w:proofErr w:type="gramEnd"/>
      <w:r>
        <w:rPr>
          <w:iCs/>
        </w:rPr>
        <w:t xml:space="preserve"> kullanımı için </w:t>
      </w:r>
      <w:r w:rsidRPr="005706FC">
        <w:rPr>
          <w:iCs/>
        </w:rPr>
        <w:t xml:space="preserve"> tek cümleden oluşan onam formu</w:t>
      </w:r>
      <w:r>
        <w:rPr>
          <w:iCs/>
        </w:rPr>
        <w:t>na yer verilmiştir.</w:t>
      </w:r>
      <w:r w:rsidRPr="005706FC">
        <w:rPr>
          <w:iCs/>
        </w:rPr>
        <w:t xml:space="preserve"> </w:t>
      </w:r>
      <w:r>
        <w:rPr>
          <w:iCs/>
        </w:rPr>
        <w:t xml:space="preserve">Bu form </w:t>
      </w:r>
      <w:r w:rsidRPr="005706FC">
        <w:rPr>
          <w:iCs/>
        </w:rPr>
        <w:t>6698 sayılı Kişisel Verilerin Korunması Kanunu’nun 6.maddesinde</w:t>
      </w:r>
      <w:r>
        <w:rPr>
          <w:iCs/>
        </w:rPr>
        <w:t xml:space="preserve"> yer alan, </w:t>
      </w:r>
      <w:r w:rsidRPr="005706FC">
        <w:rPr>
          <w:iCs/>
        </w:rPr>
        <w:t>sağlık verilerinin ancak açık rıza ile işlenebileceği şartını</w:t>
      </w:r>
      <w:r>
        <w:rPr>
          <w:iCs/>
        </w:rPr>
        <w:t xml:space="preserve"> yerine getirmemektedir. </w:t>
      </w:r>
      <w:r w:rsidRPr="005706FC">
        <w:rPr>
          <w:iCs/>
        </w:rPr>
        <w:t>Onam Metni, açık rızanın ilk unsuru olan belirli bir konuya ilişkin bilgilendirmeye dayanması gerekliliğine</w:t>
      </w:r>
      <w:r>
        <w:rPr>
          <w:iCs/>
        </w:rPr>
        <w:t>,</w:t>
      </w:r>
      <w:r w:rsidRPr="005706FC">
        <w:rPr>
          <w:iCs/>
        </w:rPr>
        <w:t xml:space="preserve"> yani verilerin hangi amaçla işleneceği, İşlenen kişisel verilerin kimlere ve hangi amaçla aktarılabileceği, kişisel veri toplamanın yöntemi ve hukuki sebebi ve Kanunun 11 inci maddesinde sayılan diğer haklar yönünden gerekli ayrıntıları içermemektedir. Üstelik Onam Metninde yer verilen “kimliğin gizli tutulması şartıyla görselin paylaşılması” ibaresi, paylaşılacak görsellerin büyük oranda yüz bölgesine ait olacağı düşünüldüğünde onamın veriliş amacıyla da çelişmekte, hastayı yanıltmaktadır</w:t>
      </w:r>
      <w:r>
        <w:rPr>
          <w:iCs/>
        </w:rPr>
        <w:t>.</w:t>
      </w:r>
      <w:r w:rsidRPr="005706FC">
        <w:rPr>
          <w:iCs/>
        </w:rPr>
        <w:t xml:space="preserve"> </w:t>
      </w:r>
      <w:r w:rsidRPr="005706FC">
        <w:rPr>
          <w:iCs/>
        </w:rPr>
        <w:t>Bu bakımdan</w:t>
      </w:r>
      <w:r>
        <w:rPr>
          <w:iCs/>
        </w:rPr>
        <w:t xml:space="preserve"> bu form kullanılarak anılan onam nedeniyle,</w:t>
      </w:r>
      <w:r w:rsidRPr="005706FC">
        <w:rPr>
          <w:iCs/>
        </w:rPr>
        <w:t xml:space="preserve"> sağlık meslek mensuplarının ilgili kurumlar nezdinde yaptırıma uğramasına sebep olabilecektir.</w:t>
      </w:r>
    </w:p>
    <w:p w14:paraId="4F264F89" w14:textId="77777777" w:rsidR="005706FC" w:rsidRDefault="005706FC" w:rsidP="005706FC">
      <w:pPr>
        <w:pStyle w:val="ListeParagraf"/>
        <w:ind w:left="0" w:right="-424"/>
        <w:rPr>
          <w:iCs/>
        </w:rPr>
      </w:pPr>
    </w:p>
    <w:p w14:paraId="3BDA0242" w14:textId="584A0B1E" w:rsidR="005F1FF4" w:rsidRPr="005706FC" w:rsidRDefault="005706FC" w:rsidP="005706FC">
      <w:pPr>
        <w:pStyle w:val="ListeParagraf"/>
        <w:ind w:left="0" w:right="-424"/>
        <w:rPr>
          <w:iCs/>
        </w:rPr>
      </w:pPr>
      <w:r w:rsidRPr="005706FC">
        <w:rPr>
          <w:iCs/>
        </w:rPr>
        <w:t xml:space="preserve">Sonuç </w:t>
      </w:r>
      <w:proofErr w:type="gramStart"/>
      <w:r w:rsidRPr="005706FC">
        <w:rPr>
          <w:iCs/>
        </w:rPr>
        <w:t xml:space="preserve">olarak, </w:t>
      </w:r>
      <w:r w:rsidR="003B0B1F" w:rsidRPr="005706FC">
        <w:rPr>
          <w:iCs/>
        </w:rPr>
        <w:t xml:space="preserve"> T</w:t>
      </w:r>
      <w:r w:rsidR="00017C4C" w:rsidRPr="005706FC">
        <w:rPr>
          <w:iCs/>
        </w:rPr>
        <w:t>ıp</w:t>
      </w:r>
      <w:proofErr w:type="gramEnd"/>
      <w:r w:rsidR="00017C4C" w:rsidRPr="005706FC">
        <w:rPr>
          <w:iCs/>
        </w:rPr>
        <w:t xml:space="preserve"> ve sağlık alanındaki bilimsel dergilerde yayınlanan makalelerde yer alan görsel kullanımı</w:t>
      </w:r>
      <w:r w:rsidR="003B0B1F" w:rsidRPr="005706FC">
        <w:rPr>
          <w:iCs/>
        </w:rPr>
        <w:t>nda hastaların rızasının yanında,  aktarılan yazılı bilginin anlaşılması için zorunlu olması, kimliğin anlaşılmasını engelleyici tedbirlerin alınması gibi ilkeler aranıyor ise</w:t>
      </w:r>
      <w:r w:rsidRPr="005706FC">
        <w:rPr>
          <w:iCs/>
        </w:rPr>
        <w:t>,</w:t>
      </w:r>
      <w:r w:rsidR="003B0B1F" w:rsidRPr="005706FC">
        <w:rPr>
          <w:iCs/>
        </w:rPr>
        <w:t xml:space="preserve"> </w:t>
      </w:r>
      <w:r w:rsidR="00017C4C" w:rsidRPr="005706FC">
        <w:rPr>
          <w:iCs/>
        </w:rPr>
        <w:t>topluma dönük bilgilendirmede de o alandaki toplum sağlığının korunması geliştirilmesi amacına dönük olarak</w:t>
      </w:r>
      <w:r w:rsidR="003B0B1F" w:rsidRPr="005706FC">
        <w:rPr>
          <w:iCs/>
        </w:rPr>
        <w:t xml:space="preserve"> benzer ölçütlerin uygulanması gerek</w:t>
      </w:r>
      <w:r w:rsidRPr="005706FC">
        <w:rPr>
          <w:iCs/>
        </w:rPr>
        <w:t xml:space="preserve">tiği kanısındayız. </w:t>
      </w:r>
      <w:r w:rsidR="003B0B1F" w:rsidRPr="005706FC">
        <w:rPr>
          <w:iCs/>
        </w:rPr>
        <w:t>Kişisel Verileri Koruma Kurulunun yukarıda özetlenen kararı</w:t>
      </w:r>
      <w:r w:rsidRPr="005706FC">
        <w:rPr>
          <w:iCs/>
        </w:rPr>
        <w:t xml:space="preserve"> da bu yönde bir uygulamanın yapılmasını zorunlu kılmaktadır</w:t>
      </w:r>
    </w:p>
    <w:p w14:paraId="7869E810" w14:textId="77777777" w:rsidR="00173331" w:rsidRDefault="00173331" w:rsidP="009479B9">
      <w:pPr>
        <w:ind w:right="-424"/>
        <w:rPr>
          <w:iCs/>
        </w:rPr>
      </w:pPr>
    </w:p>
    <w:p w14:paraId="11F8AF4B" w14:textId="7753F493" w:rsidR="000B47ED" w:rsidRPr="005706FC" w:rsidRDefault="000B47ED" w:rsidP="005706FC">
      <w:pPr>
        <w:pStyle w:val="ListeParagraf"/>
        <w:numPr>
          <w:ilvl w:val="0"/>
          <w:numId w:val="18"/>
        </w:numPr>
        <w:ind w:right="-424"/>
        <w:jc w:val="center"/>
        <w:rPr>
          <w:b/>
          <w:iCs/>
        </w:rPr>
      </w:pPr>
      <w:r w:rsidRPr="005706FC">
        <w:rPr>
          <w:b/>
          <w:iCs/>
        </w:rPr>
        <w:t>Bilgilendirme Faaliyetlerinin Denetimi ve Değerlendirilmesi</w:t>
      </w:r>
    </w:p>
    <w:p w14:paraId="46372A28" w14:textId="4723E9F7" w:rsidR="00251F40" w:rsidRDefault="0062349D" w:rsidP="005706FC">
      <w:pPr>
        <w:pStyle w:val="ListeParagraf"/>
        <w:numPr>
          <w:ilvl w:val="0"/>
          <w:numId w:val="16"/>
        </w:numPr>
        <w:ind w:left="0" w:right="-424" w:firstLine="0"/>
        <w:rPr>
          <w:iCs/>
        </w:rPr>
      </w:pPr>
      <w:r w:rsidRPr="003B0B1F">
        <w:rPr>
          <w:iCs/>
        </w:rPr>
        <w:t>Bakanlık ve</w:t>
      </w:r>
      <w:r w:rsidR="003B0B1F" w:rsidRPr="003B0B1F">
        <w:rPr>
          <w:iCs/>
        </w:rPr>
        <w:t xml:space="preserve"> İl </w:t>
      </w:r>
      <w:proofErr w:type="gramStart"/>
      <w:r w:rsidR="003B0B1F" w:rsidRPr="003B0B1F">
        <w:rPr>
          <w:iCs/>
        </w:rPr>
        <w:t>Sağlık  Müdürlükleri</w:t>
      </w:r>
      <w:proofErr w:type="gramEnd"/>
      <w:r w:rsidR="003B0B1F" w:rsidRPr="003B0B1F">
        <w:rPr>
          <w:iCs/>
        </w:rPr>
        <w:t xml:space="preserve"> </w:t>
      </w:r>
      <w:r w:rsidRPr="003B0B1F">
        <w:rPr>
          <w:iCs/>
        </w:rPr>
        <w:t xml:space="preserve"> basın ve yayın organları, internet siteleri üzerinden düzenli tarama yapıp aykırılıkları kayıt altına alaca</w:t>
      </w:r>
      <w:r w:rsidR="003B0B1F" w:rsidRPr="003B0B1F">
        <w:rPr>
          <w:iCs/>
        </w:rPr>
        <w:t xml:space="preserve">ktır. </w:t>
      </w:r>
    </w:p>
    <w:p w14:paraId="64C7E0BF" w14:textId="5360DC2C" w:rsidR="003B0B1F" w:rsidRPr="003B0B1F" w:rsidRDefault="005706FC" w:rsidP="005706FC">
      <w:pPr>
        <w:pStyle w:val="ListeParagraf"/>
        <w:numPr>
          <w:ilvl w:val="0"/>
          <w:numId w:val="16"/>
        </w:numPr>
        <w:ind w:left="0" w:right="-424" w:firstLine="0"/>
        <w:rPr>
          <w:b/>
          <w:iCs/>
        </w:rPr>
      </w:pPr>
      <w:r>
        <w:rPr>
          <w:iCs/>
        </w:rPr>
        <w:t>B</w:t>
      </w:r>
      <w:r w:rsidR="00251F40" w:rsidRPr="003B0B1F">
        <w:rPr>
          <w:iCs/>
        </w:rPr>
        <w:t xml:space="preserve">ilgilendirme faaliyetlerinin Yönetmeliğe uygunluğunu değerlendirmek üzere </w:t>
      </w:r>
      <w:r w:rsidR="00C6601A" w:rsidRPr="003B0B1F">
        <w:rPr>
          <w:iCs/>
        </w:rPr>
        <w:t xml:space="preserve">her ilde </w:t>
      </w:r>
      <w:r w:rsidR="00731750" w:rsidRPr="003B0B1F">
        <w:rPr>
          <w:iCs/>
        </w:rPr>
        <w:t xml:space="preserve">sağlık hizmetleri başkanı, başkan yardımcısı, ilgili birim sorumlusu, değerlendirmeye konu alandan bir uzman tabip, Müdürlükte ya da kamuda görevli bir avukat, il ticaret müdürlüğü temsilcisi </w:t>
      </w:r>
      <w:proofErr w:type="gramStart"/>
      <w:r w:rsidR="00731750" w:rsidRPr="003B0B1F">
        <w:rPr>
          <w:iCs/>
        </w:rPr>
        <w:t xml:space="preserve">ve </w:t>
      </w:r>
      <w:r w:rsidR="003B0B1F" w:rsidRPr="003B0B1F">
        <w:rPr>
          <w:iCs/>
        </w:rPr>
        <w:t xml:space="preserve"> kanun</w:t>
      </w:r>
      <w:proofErr w:type="gramEnd"/>
      <w:r w:rsidR="003B0B1F" w:rsidRPr="003B0B1F">
        <w:rPr>
          <w:iCs/>
        </w:rPr>
        <w:t xml:space="preserve"> ile kurulmuş </w:t>
      </w:r>
      <w:r w:rsidR="00C6601A" w:rsidRPr="003B0B1F">
        <w:rPr>
          <w:iCs/>
        </w:rPr>
        <w:t>ilgili meslek kuruluşundan bir temsilciden oluşan “Sağlıkta Bilgilendirme Tanıtım Faaliyetleri İl Değerlendirme Komisyonu” kurulaca</w:t>
      </w:r>
      <w:r w:rsidR="003B0B1F" w:rsidRPr="003B0B1F">
        <w:rPr>
          <w:iCs/>
        </w:rPr>
        <w:t xml:space="preserve">ktır. </w:t>
      </w:r>
    </w:p>
    <w:p w14:paraId="486AD96B" w14:textId="77777777" w:rsidR="00324324" w:rsidRDefault="000E4009" w:rsidP="005706FC">
      <w:pPr>
        <w:pStyle w:val="ListeParagraf"/>
        <w:numPr>
          <w:ilvl w:val="0"/>
          <w:numId w:val="16"/>
        </w:numPr>
        <w:ind w:left="0" w:right="-424" w:firstLine="0"/>
        <w:rPr>
          <w:iCs/>
        </w:rPr>
      </w:pPr>
      <w:r w:rsidRPr="00324324">
        <w:rPr>
          <w:iCs/>
        </w:rPr>
        <w:t>R</w:t>
      </w:r>
      <w:r w:rsidR="00A809D1" w:rsidRPr="00324324">
        <w:rPr>
          <w:iCs/>
        </w:rPr>
        <w:t>adyo-TV</w:t>
      </w:r>
      <w:r w:rsidR="002F1BE3" w:rsidRPr="00324324">
        <w:rPr>
          <w:iCs/>
        </w:rPr>
        <w:t xml:space="preserve"> kanallarına çıkan sağlık meslek </w:t>
      </w:r>
      <w:proofErr w:type="gramStart"/>
      <w:r w:rsidR="002F1BE3" w:rsidRPr="00324324">
        <w:rPr>
          <w:iCs/>
        </w:rPr>
        <w:t>mensupları</w:t>
      </w:r>
      <w:r w:rsidR="00324324">
        <w:rPr>
          <w:iCs/>
        </w:rPr>
        <w:t xml:space="preserve">, </w:t>
      </w:r>
      <w:r w:rsidR="002F1BE3" w:rsidRPr="00324324">
        <w:rPr>
          <w:iCs/>
        </w:rPr>
        <w:t xml:space="preserve"> Yönetmelik</w:t>
      </w:r>
      <w:proofErr w:type="gramEnd"/>
      <w:r w:rsidR="002F1BE3" w:rsidRPr="00324324">
        <w:rPr>
          <w:iCs/>
        </w:rPr>
        <w:t xml:space="preserve"> ekinde yer alan </w:t>
      </w:r>
      <w:r w:rsidR="00192C01" w:rsidRPr="00324324">
        <w:rPr>
          <w:iCs/>
        </w:rPr>
        <w:t xml:space="preserve">halihazırda yürürlükte olan Yönetmeliğe uygun davranılacağına ilişkin </w:t>
      </w:r>
      <w:r w:rsidR="00324324">
        <w:rPr>
          <w:iCs/>
        </w:rPr>
        <w:t>bir taahhütname imzalayacaktır.</w:t>
      </w:r>
    </w:p>
    <w:p w14:paraId="61EE90E9" w14:textId="19ED036F" w:rsidR="00BA7776" w:rsidRPr="00324324" w:rsidRDefault="001667F1" w:rsidP="005706FC">
      <w:pPr>
        <w:pStyle w:val="ListeParagraf"/>
        <w:numPr>
          <w:ilvl w:val="0"/>
          <w:numId w:val="16"/>
        </w:numPr>
        <w:ind w:left="0" w:right="-424" w:firstLine="0"/>
        <w:rPr>
          <w:iCs/>
        </w:rPr>
      </w:pPr>
      <w:r w:rsidRPr="00324324">
        <w:rPr>
          <w:iCs/>
        </w:rPr>
        <w:t>Radyo ve televizyon kanallarında tanıtım ve bilgilendirme yapanların faaliyetlerini incelemek üzere</w:t>
      </w:r>
      <w:r w:rsidR="006B1ADD" w:rsidRPr="00324324">
        <w:rPr>
          <w:iCs/>
        </w:rPr>
        <w:t>, ilgili uzmanlık dalından en az 3 akademisyenden</w:t>
      </w:r>
      <w:r w:rsidR="00324324" w:rsidRPr="00324324">
        <w:rPr>
          <w:iCs/>
        </w:rPr>
        <w:t xml:space="preserve"> </w:t>
      </w:r>
      <w:proofErr w:type="gramStart"/>
      <w:r w:rsidR="00324324" w:rsidRPr="00324324">
        <w:rPr>
          <w:iCs/>
        </w:rPr>
        <w:t xml:space="preserve">oluşan </w:t>
      </w:r>
      <w:r w:rsidR="006B1ADD" w:rsidRPr="00324324">
        <w:rPr>
          <w:iCs/>
        </w:rPr>
        <w:t xml:space="preserve"> </w:t>
      </w:r>
      <w:r w:rsidRPr="00324324">
        <w:rPr>
          <w:iCs/>
        </w:rPr>
        <w:t>“</w:t>
      </w:r>
      <w:proofErr w:type="gramEnd"/>
      <w:r w:rsidRPr="00324324">
        <w:rPr>
          <w:i/>
          <w:iCs/>
        </w:rPr>
        <w:t>Sağlıkta Tanıtım ve Bilgilendirme Faaliyetlerini İnceleme ve Değerlendirme Komisyonu</w:t>
      </w:r>
      <w:r w:rsidRPr="00324324">
        <w:rPr>
          <w:iCs/>
        </w:rPr>
        <w:t xml:space="preserve">” </w:t>
      </w:r>
      <w:r w:rsidR="006B1ADD" w:rsidRPr="00324324">
        <w:rPr>
          <w:iCs/>
        </w:rPr>
        <w:t>kurulaca</w:t>
      </w:r>
      <w:r w:rsidR="00324324" w:rsidRPr="00324324">
        <w:rPr>
          <w:iCs/>
        </w:rPr>
        <w:t>ktır</w:t>
      </w:r>
    </w:p>
    <w:p w14:paraId="183A36F4" w14:textId="3C04770B" w:rsidR="00BA7776" w:rsidRPr="00324324" w:rsidRDefault="00BA7776" w:rsidP="005706FC">
      <w:pPr>
        <w:pStyle w:val="ListeParagraf"/>
        <w:numPr>
          <w:ilvl w:val="0"/>
          <w:numId w:val="18"/>
        </w:numPr>
        <w:ind w:left="0" w:right="-424" w:firstLine="0"/>
        <w:jc w:val="center"/>
        <w:rPr>
          <w:b/>
          <w:iCs/>
        </w:rPr>
      </w:pPr>
      <w:r w:rsidRPr="00324324">
        <w:rPr>
          <w:b/>
          <w:iCs/>
        </w:rPr>
        <w:t>Yaptırımlar</w:t>
      </w:r>
    </w:p>
    <w:p w14:paraId="5BD0171C" w14:textId="1DCD8F4F" w:rsidR="00324324" w:rsidRDefault="004F190B" w:rsidP="005706FC">
      <w:pPr>
        <w:pStyle w:val="ListeParagraf"/>
        <w:numPr>
          <w:ilvl w:val="0"/>
          <w:numId w:val="17"/>
        </w:numPr>
        <w:ind w:left="0" w:right="-424" w:firstLine="0"/>
        <w:rPr>
          <w:iCs/>
        </w:rPr>
      </w:pPr>
      <w:r w:rsidRPr="00324324">
        <w:rPr>
          <w:iCs/>
        </w:rPr>
        <w:t xml:space="preserve">Bilgilendirme kurallarına aykırı paylaşımlarda bulunan </w:t>
      </w:r>
      <w:r w:rsidR="00324324">
        <w:rPr>
          <w:iCs/>
        </w:rPr>
        <w:t xml:space="preserve">sağlık meslek mensuplarına </w:t>
      </w:r>
      <w:r w:rsidRPr="00324324">
        <w:rPr>
          <w:iCs/>
        </w:rPr>
        <w:t xml:space="preserve">uyarı verilmeden </w:t>
      </w:r>
      <w:r w:rsidR="00324324">
        <w:rPr>
          <w:iCs/>
        </w:rPr>
        <w:t xml:space="preserve">1219 sayılı Kanun uyarınca </w:t>
      </w:r>
      <w:r w:rsidRPr="00324324">
        <w:rPr>
          <w:iCs/>
        </w:rPr>
        <w:t>doğrudan</w:t>
      </w:r>
      <w:r w:rsidR="00324324">
        <w:rPr>
          <w:iCs/>
        </w:rPr>
        <w:t xml:space="preserve"> idari para cezası verileceği, ayrıca Reklam Kuruluna, ilgili meslek örgütlerine bildirimde bulunulacağı belirtilmiştir.</w:t>
      </w:r>
      <w:r w:rsidR="005706FC">
        <w:rPr>
          <w:iCs/>
        </w:rPr>
        <w:t xml:space="preserve"> </w:t>
      </w:r>
    </w:p>
    <w:p w14:paraId="762D087B" w14:textId="74ADD3C5" w:rsidR="00324324" w:rsidRPr="00324324" w:rsidRDefault="004F190B" w:rsidP="005706FC">
      <w:pPr>
        <w:pStyle w:val="ListeParagraf"/>
        <w:numPr>
          <w:ilvl w:val="0"/>
          <w:numId w:val="17"/>
        </w:numPr>
        <w:ind w:left="0" w:right="-424" w:firstLine="0"/>
      </w:pPr>
      <w:r w:rsidRPr="00324324">
        <w:rPr>
          <w:iCs/>
        </w:rPr>
        <w:t xml:space="preserve"> </w:t>
      </w:r>
      <w:r w:rsidR="00324324" w:rsidRPr="00324324">
        <w:rPr>
          <w:iCs/>
        </w:rPr>
        <w:t>S</w:t>
      </w:r>
      <w:r w:rsidRPr="00324324">
        <w:rPr>
          <w:iCs/>
        </w:rPr>
        <w:t>ağlık tesisleri</w:t>
      </w:r>
      <w:r w:rsidR="00324324" w:rsidRPr="00324324">
        <w:rPr>
          <w:iCs/>
        </w:rPr>
        <w:t xml:space="preserve">ne ise doğrudan yaptırım </w:t>
      </w:r>
      <w:proofErr w:type="gramStart"/>
      <w:r w:rsidR="00324324" w:rsidRPr="00324324">
        <w:rPr>
          <w:iCs/>
        </w:rPr>
        <w:t xml:space="preserve">uygulanmayacak, </w:t>
      </w:r>
      <w:r w:rsidRPr="00324324">
        <w:rPr>
          <w:iCs/>
        </w:rPr>
        <w:t xml:space="preserve"> </w:t>
      </w:r>
      <w:r w:rsidR="005706FC">
        <w:rPr>
          <w:iCs/>
        </w:rPr>
        <w:t>ö</w:t>
      </w:r>
      <w:r w:rsidR="00324324" w:rsidRPr="00324324">
        <w:rPr>
          <w:iCs/>
        </w:rPr>
        <w:t>nce</w:t>
      </w:r>
      <w:proofErr w:type="gramEnd"/>
      <w:r w:rsidR="00324324" w:rsidRPr="00324324">
        <w:rPr>
          <w:iCs/>
        </w:rPr>
        <w:t xml:space="preserve"> </w:t>
      </w:r>
      <w:r w:rsidRPr="00324324">
        <w:rPr>
          <w:iCs/>
        </w:rPr>
        <w:t>iki kez uyarılaca</w:t>
      </w:r>
      <w:r w:rsidR="00324324" w:rsidRPr="00324324">
        <w:rPr>
          <w:iCs/>
        </w:rPr>
        <w:t>k</w:t>
      </w:r>
      <w:r w:rsidRPr="00324324">
        <w:rPr>
          <w:iCs/>
        </w:rPr>
        <w:t>, sonra bir yıl içinde üçüncü aykırılığın tespit edilmesi halinde üç gün süreyle faaliyeti</w:t>
      </w:r>
      <w:r w:rsidR="00324324" w:rsidRPr="00324324">
        <w:rPr>
          <w:iCs/>
        </w:rPr>
        <w:t xml:space="preserve"> durdurulacaktır. </w:t>
      </w:r>
      <w:r w:rsidRPr="00324324">
        <w:rPr>
          <w:iCs/>
        </w:rPr>
        <w:t xml:space="preserve"> </w:t>
      </w:r>
    </w:p>
    <w:p w14:paraId="27ECCFB2" w14:textId="3A5A4E91" w:rsidR="005706FC" w:rsidRDefault="004252BA" w:rsidP="005706FC">
      <w:pPr>
        <w:pStyle w:val="ListeParagraf"/>
        <w:numPr>
          <w:ilvl w:val="0"/>
          <w:numId w:val="17"/>
        </w:numPr>
        <w:ind w:left="0" w:right="-424" w:firstLine="0"/>
      </w:pPr>
      <w:r w:rsidRPr="004252BA">
        <w:t xml:space="preserve">Ayakta Teşhis ve Tedavi Sunulan Özel Sağlık Kuruluşları Hakkında Yönetmelik ile Özel Hastaneler Yönetmeliğinin ekinde, tanıtım kurallarına aykırılık halinde uygulanması gereken yaptırımlar </w:t>
      </w:r>
      <w:r w:rsidR="0034108A" w:rsidRPr="004252BA">
        <w:t>hâlihazırda</w:t>
      </w:r>
      <w:r w:rsidRPr="004252BA">
        <w:t xml:space="preserve"> düzenlenmektedir. Yönetmeliklerde benimsenen yaptırım, mesul müdürün 3 kez uyarılacağı, bir yıl içerisinde 4.tespitte 2 gün, 5. Tespitte 5 gün ilgili sağlık kuruluşunun faaliyetl</w:t>
      </w:r>
      <w:r>
        <w:t xml:space="preserve">erinin durdurulacağıdır. Yönetmelik hem bunlardan farklı bir </w:t>
      </w:r>
      <w:r w:rsidRPr="004252BA">
        <w:t xml:space="preserve">yaptırım usulü </w:t>
      </w:r>
      <w:r>
        <w:t>benimseyerek</w:t>
      </w:r>
      <w:r w:rsidRPr="004252BA">
        <w:t xml:space="preserve"> uygulamada çelişki </w:t>
      </w:r>
      <w:r>
        <w:t xml:space="preserve">doğmasına elvermekte, </w:t>
      </w:r>
      <w:r w:rsidR="00807FAD">
        <w:t xml:space="preserve">hem de üçten sonraki ihlallerde </w:t>
      </w:r>
      <w:r w:rsidR="00130187">
        <w:t xml:space="preserve">uygulanacak yaptırımı </w:t>
      </w:r>
      <w:r w:rsidR="000604B2">
        <w:t>içermeyerek bir cezasızlık alanı yaratmaktadır</w:t>
      </w:r>
      <w:r w:rsidRPr="004252BA">
        <w:t>.</w:t>
      </w:r>
    </w:p>
    <w:p w14:paraId="1C7FE9AC" w14:textId="77777777" w:rsidR="000604B2" w:rsidRDefault="000604B2" w:rsidP="009479B9">
      <w:pPr>
        <w:ind w:right="-424"/>
      </w:pPr>
    </w:p>
    <w:p w14:paraId="723434C3" w14:textId="77777777" w:rsidR="000604B2" w:rsidRDefault="000604B2" w:rsidP="009479B9">
      <w:pPr>
        <w:ind w:right="-424"/>
      </w:pPr>
      <w:r>
        <w:t xml:space="preserve">Bilginize sunulur. Saygılarımızla. </w:t>
      </w:r>
    </w:p>
    <w:p w14:paraId="57D90F67" w14:textId="77777777" w:rsidR="000604B2" w:rsidRDefault="000604B2" w:rsidP="009479B9">
      <w:pPr>
        <w:ind w:right="-424"/>
      </w:pPr>
    </w:p>
    <w:p w14:paraId="3D30D848" w14:textId="77777777" w:rsidR="000604B2" w:rsidRPr="000604B2" w:rsidRDefault="000604B2" w:rsidP="005F1FF4">
      <w:pPr>
        <w:ind w:right="-424"/>
        <w:jc w:val="center"/>
        <w:rPr>
          <w:b/>
        </w:rPr>
      </w:pPr>
      <w:r w:rsidRPr="000604B2">
        <w:rPr>
          <w:b/>
        </w:rPr>
        <w:t>Özçelik Avukatlık Ortaklığı</w:t>
      </w:r>
    </w:p>
    <w:p w14:paraId="15E61149" w14:textId="77777777" w:rsidR="00F35740" w:rsidRDefault="000604B2" w:rsidP="005F1FF4">
      <w:pPr>
        <w:ind w:right="-424"/>
        <w:jc w:val="center"/>
        <w:rPr>
          <w:b/>
        </w:rPr>
      </w:pPr>
      <w:r w:rsidRPr="000604B2">
        <w:rPr>
          <w:b/>
        </w:rPr>
        <w:t>Av.</w:t>
      </w:r>
      <w:r>
        <w:rPr>
          <w:b/>
        </w:rPr>
        <w:t xml:space="preserve"> </w:t>
      </w:r>
      <w:r w:rsidRPr="000604B2">
        <w:rPr>
          <w:b/>
        </w:rPr>
        <w:t>Ziynet Özçelik – Av.</w:t>
      </w:r>
      <w:r>
        <w:rPr>
          <w:b/>
        </w:rPr>
        <w:t xml:space="preserve"> </w:t>
      </w:r>
      <w:r w:rsidRPr="000604B2">
        <w:rPr>
          <w:b/>
        </w:rPr>
        <w:t>Hazal Aktepe</w:t>
      </w:r>
      <w:r w:rsidR="00860C74" w:rsidRPr="000604B2">
        <w:rPr>
          <w:b/>
        </w:rPr>
        <w:t xml:space="preserve"> </w:t>
      </w:r>
    </w:p>
    <w:p w14:paraId="42FC405C" w14:textId="77777777" w:rsidR="00DC54D5" w:rsidRPr="005F1FF4" w:rsidRDefault="00DC54D5" w:rsidP="005F1FF4">
      <w:pPr>
        <w:ind w:right="-424"/>
        <w:rPr>
          <w:iCs/>
          <w:color w:val="00B050"/>
        </w:rPr>
      </w:pPr>
    </w:p>
    <w:sectPr w:rsidR="00DC54D5" w:rsidRPr="005F1FF4" w:rsidSect="00E1619D">
      <w:footerReference w:type="default" r:id="rId8"/>
      <w:pgSz w:w="11906" w:h="16838"/>
      <w:pgMar w:top="1276" w:right="1274" w:bottom="851"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0D3B" w14:textId="77777777" w:rsidR="00617724" w:rsidRDefault="00617724" w:rsidP="00017482">
      <w:pPr>
        <w:spacing w:line="240" w:lineRule="auto"/>
      </w:pPr>
      <w:r>
        <w:separator/>
      </w:r>
    </w:p>
  </w:endnote>
  <w:endnote w:type="continuationSeparator" w:id="0">
    <w:p w14:paraId="43109D42" w14:textId="77777777" w:rsidR="00617724" w:rsidRDefault="00617724" w:rsidP="00017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517211732"/>
      <w:docPartObj>
        <w:docPartGallery w:val="Page Numbers (Bottom of Page)"/>
        <w:docPartUnique/>
      </w:docPartObj>
    </w:sdtPr>
    <w:sdtContent>
      <w:sdt>
        <w:sdtPr>
          <w:rPr>
            <w:sz w:val="16"/>
          </w:rPr>
          <w:id w:val="71783920"/>
          <w:docPartObj>
            <w:docPartGallery w:val="Page Numbers (Top of Page)"/>
            <w:docPartUnique/>
          </w:docPartObj>
        </w:sdtPr>
        <w:sdtContent>
          <w:p w14:paraId="4F1403FC" w14:textId="77777777" w:rsidR="00E1619D" w:rsidRPr="00E1619D" w:rsidRDefault="00E1619D">
            <w:pPr>
              <w:pStyle w:val="AltBilgi"/>
              <w:jc w:val="right"/>
              <w:rPr>
                <w:sz w:val="16"/>
              </w:rPr>
            </w:pPr>
            <w:r w:rsidRPr="00E1619D">
              <w:rPr>
                <w:sz w:val="16"/>
              </w:rPr>
              <w:t xml:space="preserve">Sayfa </w:t>
            </w:r>
            <w:r w:rsidRPr="00E1619D">
              <w:rPr>
                <w:b/>
                <w:bCs/>
                <w:szCs w:val="24"/>
              </w:rPr>
              <w:fldChar w:fldCharType="begin"/>
            </w:r>
            <w:r w:rsidRPr="00E1619D">
              <w:rPr>
                <w:b/>
                <w:bCs/>
                <w:sz w:val="16"/>
              </w:rPr>
              <w:instrText>PAGE</w:instrText>
            </w:r>
            <w:r w:rsidRPr="00E1619D">
              <w:rPr>
                <w:b/>
                <w:bCs/>
                <w:szCs w:val="24"/>
              </w:rPr>
              <w:fldChar w:fldCharType="separate"/>
            </w:r>
            <w:r w:rsidR="0034108A">
              <w:rPr>
                <w:b/>
                <w:bCs/>
                <w:noProof/>
                <w:sz w:val="16"/>
              </w:rPr>
              <w:t>4</w:t>
            </w:r>
            <w:r w:rsidRPr="00E1619D">
              <w:rPr>
                <w:b/>
                <w:bCs/>
                <w:szCs w:val="24"/>
              </w:rPr>
              <w:fldChar w:fldCharType="end"/>
            </w:r>
            <w:r w:rsidRPr="00E1619D">
              <w:rPr>
                <w:sz w:val="16"/>
              </w:rPr>
              <w:t xml:space="preserve"> / </w:t>
            </w:r>
            <w:r w:rsidRPr="00E1619D">
              <w:rPr>
                <w:b/>
                <w:bCs/>
                <w:szCs w:val="24"/>
              </w:rPr>
              <w:fldChar w:fldCharType="begin"/>
            </w:r>
            <w:r w:rsidRPr="00E1619D">
              <w:rPr>
                <w:b/>
                <w:bCs/>
                <w:sz w:val="16"/>
              </w:rPr>
              <w:instrText>NUMPAGES</w:instrText>
            </w:r>
            <w:r w:rsidRPr="00E1619D">
              <w:rPr>
                <w:b/>
                <w:bCs/>
                <w:szCs w:val="24"/>
              </w:rPr>
              <w:fldChar w:fldCharType="separate"/>
            </w:r>
            <w:r w:rsidR="0034108A">
              <w:rPr>
                <w:b/>
                <w:bCs/>
                <w:noProof/>
                <w:sz w:val="16"/>
              </w:rPr>
              <w:t>5</w:t>
            </w:r>
            <w:r w:rsidRPr="00E1619D">
              <w:rPr>
                <w:b/>
                <w:bCs/>
                <w:szCs w:val="24"/>
              </w:rPr>
              <w:fldChar w:fldCharType="end"/>
            </w:r>
          </w:p>
        </w:sdtContent>
      </w:sdt>
    </w:sdtContent>
  </w:sdt>
  <w:p w14:paraId="4DE9BBF4" w14:textId="77777777" w:rsidR="00E1619D" w:rsidRPr="00E1619D" w:rsidRDefault="00E1619D">
    <w:pPr>
      <w:pStyle w:val="AltBilgi"/>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21F9" w14:textId="77777777" w:rsidR="00617724" w:rsidRDefault="00617724" w:rsidP="00017482">
      <w:pPr>
        <w:spacing w:line="240" w:lineRule="auto"/>
      </w:pPr>
      <w:r>
        <w:separator/>
      </w:r>
    </w:p>
  </w:footnote>
  <w:footnote w:type="continuationSeparator" w:id="0">
    <w:p w14:paraId="45DAACD8" w14:textId="77777777" w:rsidR="00617724" w:rsidRDefault="00617724" w:rsidP="00017482">
      <w:pPr>
        <w:spacing w:line="240" w:lineRule="auto"/>
      </w:pPr>
      <w:r>
        <w:continuationSeparator/>
      </w:r>
    </w:p>
  </w:footnote>
  <w:footnote w:id="1">
    <w:p w14:paraId="58E12B80" w14:textId="0D45F58A" w:rsidR="00B321BA" w:rsidRDefault="00B321BA" w:rsidP="009479B9">
      <w:pPr>
        <w:pStyle w:val="DipnotMetni"/>
      </w:pPr>
      <w:r>
        <w:rPr>
          <w:rStyle w:val="DipnotBavurusu"/>
        </w:rPr>
        <w:footnoteRef/>
      </w:r>
      <w:r>
        <w:t xml:space="preserve"> Dünya Tabipler Birliği Cenevre Bildirgesi/Hekimlik </w:t>
      </w:r>
      <w:proofErr w:type="gramStart"/>
      <w:r>
        <w:t>Andı</w:t>
      </w:r>
      <w:r w:rsidR="00DC54D5">
        <w:t>(</w:t>
      </w:r>
      <w:proofErr w:type="gramEnd"/>
      <w:r w:rsidR="00DC54D5">
        <w:t xml:space="preserve">Bilindiği gibi  kökeni Milattan Önce 5. Yüzyılda yaşamış olan Hipokrat’a bağlanan ve 2500 yıldır hekimler tarafından verilen “sözü” içeren </w:t>
      </w:r>
      <w:proofErr w:type="spellStart"/>
      <w:r w:rsidR="00DC54D5">
        <w:t>And</w:t>
      </w:r>
      <w:proofErr w:type="spellEnd"/>
      <w:r w:rsidR="00DC54D5">
        <w:t xml:space="preserve"> Dünya Tabipler Birliği tarafından güncellenerek yaşatılan bir meslek etiği düzenlemesidir.)</w:t>
      </w:r>
    </w:p>
  </w:footnote>
  <w:footnote w:id="2">
    <w:p w14:paraId="314F05C9" w14:textId="77777777" w:rsidR="00B35740" w:rsidRDefault="00B35740" w:rsidP="00B35740">
      <w:pPr>
        <w:pStyle w:val="DipnotMetni"/>
        <w:ind w:right="-566"/>
        <w:jc w:val="both"/>
      </w:pPr>
      <w:r>
        <w:rPr>
          <w:rStyle w:val="DipnotBavurusu"/>
        </w:rPr>
        <w:footnoteRef/>
      </w:r>
      <w:r>
        <w:t xml:space="preserve"> </w:t>
      </w:r>
      <w:r w:rsidRPr="00C45BD9">
        <w:t>Ayakta Teşhis ve Tedavi Yapılan Özel Sağlık Kuruluşları Hakkında Yönetmelik, Özel Hastaneler Yönetmeliği, Ağız ve Diş Sağlığı Hizmeti Sunulan Özel Sağlık Kuruluşları Hakkında Yönetmelik</w:t>
      </w:r>
      <w:r>
        <w:t xml:space="preserve">, TTB Hekimlik Meslek Etiği Kuralları, TTB </w:t>
      </w:r>
      <w:r w:rsidRPr="00C45BD9">
        <w:t xml:space="preserve">Hekimler </w:t>
      </w:r>
      <w:proofErr w:type="gramStart"/>
      <w:r w:rsidRPr="00C45BD9">
        <w:t>İle</w:t>
      </w:r>
      <w:proofErr w:type="gramEnd"/>
      <w:r w:rsidRPr="00C45BD9">
        <w:t xml:space="preserve"> Sağlık Kurum ve Kuruluşlarının Elektronik Ortamlardaki Paylaşımlarına İlişkin Kılavuz</w:t>
      </w:r>
      <w:r>
        <w:t xml:space="preserve">, TDB </w:t>
      </w:r>
      <w:proofErr w:type="spellStart"/>
      <w:r w:rsidRPr="00C45BD9">
        <w:t>Dişhekimlerinin</w:t>
      </w:r>
      <w:proofErr w:type="spellEnd"/>
      <w:r w:rsidRPr="00C45BD9">
        <w:t xml:space="preserve"> Her Türlü İletişim Ortamında Yayın Yapmalarına İlişkin Kılavuz</w:t>
      </w:r>
      <w:r>
        <w:t>, Ticari Reklam ve Haksız Ticari Uygulamalar Yönetmeliği</w:t>
      </w:r>
    </w:p>
  </w:footnote>
  <w:footnote w:id="3">
    <w:p w14:paraId="260FB5B3" w14:textId="4509E3CC" w:rsidR="00C1576E" w:rsidRDefault="00C1576E" w:rsidP="009479B9">
      <w:pPr>
        <w:pStyle w:val="DipnotMetni"/>
      </w:pPr>
      <w:r>
        <w:rPr>
          <w:rStyle w:val="DipnotBavurusu"/>
        </w:rPr>
        <w:footnoteRef/>
      </w:r>
      <w:r>
        <w:t xml:space="preserve"> 1956 yılında Diş Hekimlerinin de bünyesinde yer aldığı Türk Tabipleri Birliği tarafından hazırlanmış, Sağlık Bakanlığı ile müzakere edilmiş ve Bakanlar Kurulu tarafından kabul edilmiş, Cumhurbaşkanı tarafından onaylanarak 1960 yılında </w:t>
      </w:r>
      <w:proofErr w:type="gramStart"/>
      <w:r>
        <w:t>Resmi</w:t>
      </w:r>
      <w:proofErr w:type="gramEnd"/>
      <w:r>
        <w:t xml:space="preserve"> Gazetede yayınlanarak yürürlüğe konulmuştur. İkinci Dünya </w:t>
      </w:r>
      <w:r w:rsidR="00D46EFC">
        <w:t>Savaşı sonrasında bütün dünyad</w:t>
      </w:r>
      <w:r w:rsidR="00DC54D5">
        <w:t>aki pek çok ülkede Tıbbi Deontoloji Kuralları tartışılmış ve benzer hükümler uygulamaya konulmuştur.</w:t>
      </w:r>
    </w:p>
  </w:footnote>
  <w:footnote w:id="4">
    <w:p w14:paraId="2CB3A2CD" w14:textId="5230F999" w:rsidR="00CB5A98" w:rsidRDefault="00CB5A98">
      <w:pPr>
        <w:pStyle w:val="DipnotMetni"/>
      </w:pPr>
      <w:r>
        <w:rPr>
          <w:rStyle w:val="DipnotBavurusu"/>
        </w:rPr>
        <w:footnoteRef/>
      </w:r>
      <w:r>
        <w:t xml:space="preserve"> Kişisel Verileri Koruma Kurulu’nun 11/05/2023 </w:t>
      </w:r>
      <w:proofErr w:type="gramStart"/>
      <w:r>
        <w:t>gün  :</w:t>
      </w:r>
      <w:proofErr w:type="gramEnd"/>
      <w:r>
        <w:t xml:space="preserve">2023/787  </w:t>
      </w:r>
      <w:proofErr w:type="spellStart"/>
      <w:r>
        <w:t>nolu</w:t>
      </w:r>
      <w:proofErr w:type="spellEnd"/>
      <w:r>
        <w:t xml:space="preserve"> Kararı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D2C"/>
    <w:multiLevelType w:val="hybridMultilevel"/>
    <w:tmpl w:val="562A240A"/>
    <w:lvl w:ilvl="0" w:tplc="31643E46">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742201"/>
    <w:multiLevelType w:val="hybridMultilevel"/>
    <w:tmpl w:val="4BE298CE"/>
    <w:lvl w:ilvl="0" w:tplc="23F2594E">
      <w:start w:val="1"/>
      <w:numFmt w:val="decimal"/>
      <w:lvlText w:val="%1-"/>
      <w:lvlJc w:val="left"/>
      <w:pPr>
        <w:ind w:left="588" w:hanging="360"/>
      </w:pPr>
      <w:rPr>
        <w:rFonts w:hint="default"/>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2" w15:restartNumberingAfterBreak="0">
    <w:nsid w:val="1AD35927"/>
    <w:multiLevelType w:val="hybridMultilevel"/>
    <w:tmpl w:val="F5C40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22520F"/>
    <w:multiLevelType w:val="hybridMultilevel"/>
    <w:tmpl w:val="3BE4E966"/>
    <w:lvl w:ilvl="0" w:tplc="B9EC10AE">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5201AE"/>
    <w:multiLevelType w:val="hybridMultilevel"/>
    <w:tmpl w:val="E5B4DF7A"/>
    <w:lvl w:ilvl="0" w:tplc="041F0001">
      <w:start w:val="1"/>
      <w:numFmt w:val="bullet"/>
      <w:lvlText w:val=""/>
      <w:lvlJc w:val="left"/>
      <w:pPr>
        <w:ind w:left="654" w:hanging="360"/>
      </w:pPr>
      <w:rPr>
        <w:rFonts w:ascii="Symbol" w:hAnsi="Symbol" w:hint="default"/>
      </w:rPr>
    </w:lvl>
    <w:lvl w:ilvl="1" w:tplc="041F0003" w:tentative="1">
      <w:start w:val="1"/>
      <w:numFmt w:val="bullet"/>
      <w:lvlText w:val="o"/>
      <w:lvlJc w:val="left"/>
      <w:pPr>
        <w:ind w:left="1374" w:hanging="360"/>
      </w:pPr>
      <w:rPr>
        <w:rFonts w:ascii="Courier New" w:hAnsi="Courier New" w:cs="Courier New" w:hint="default"/>
      </w:rPr>
    </w:lvl>
    <w:lvl w:ilvl="2" w:tplc="041F0005" w:tentative="1">
      <w:start w:val="1"/>
      <w:numFmt w:val="bullet"/>
      <w:lvlText w:val=""/>
      <w:lvlJc w:val="left"/>
      <w:pPr>
        <w:ind w:left="2094" w:hanging="360"/>
      </w:pPr>
      <w:rPr>
        <w:rFonts w:ascii="Wingdings" w:hAnsi="Wingdings" w:hint="default"/>
      </w:rPr>
    </w:lvl>
    <w:lvl w:ilvl="3" w:tplc="041F0001" w:tentative="1">
      <w:start w:val="1"/>
      <w:numFmt w:val="bullet"/>
      <w:lvlText w:val=""/>
      <w:lvlJc w:val="left"/>
      <w:pPr>
        <w:ind w:left="2814" w:hanging="360"/>
      </w:pPr>
      <w:rPr>
        <w:rFonts w:ascii="Symbol" w:hAnsi="Symbol" w:hint="default"/>
      </w:rPr>
    </w:lvl>
    <w:lvl w:ilvl="4" w:tplc="041F0003" w:tentative="1">
      <w:start w:val="1"/>
      <w:numFmt w:val="bullet"/>
      <w:lvlText w:val="o"/>
      <w:lvlJc w:val="left"/>
      <w:pPr>
        <w:ind w:left="3534" w:hanging="360"/>
      </w:pPr>
      <w:rPr>
        <w:rFonts w:ascii="Courier New" w:hAnsi="Courier New" w:cs="Courier New" w:hint="default"/>
      </w:rPr>
    </w:lvl>
    <w:lvl w:ilvl="5" w:tplc="041F0005" w:tentative="1">
      <w:start w:val="1"/>
      <w:numFmt w:val="bullet"/>
      <w:lvlText w:val=""/>
      <w:lvlJc w:val="left"/>
      <w:pPr>
        <w:ind w:left="4254" w:hanging="360"/>
      </w:pPr>
      <w:rPr>
        <w:rFonts w:ascii="Wingdings" w:hAnsi="Wingdings" w:hint="default"/>
      </w:rPr>
    </w:lvl>
    <w:lvl w:ilvl="6" w:tplc="041F0001" w:tentative="1">
      <w:start w:val="1"/>
      <w:numFmt w:val="bullet"/>
      <w:lvlText w:val=""/>
      <w:lvlJc w:val="left"/>
      <w:pPr>
        <w:ind w:left="4974" w:hanging="360"/>
      </w:pPr>
      <w:rPr>
        <w:rFonts w:ascii="Symbol" w:hAnsi="Symbol" w:hint="default"/>
      </w:rPr>
    </w:lvl>
    <w:lvl w:ilvl="7" w:tplc="041F0003" w:tentative="1">
      <w:start w:val="1"/>
      <w:numFmt w:val="bullet"/>
      <w:lvlText w:val="o"/>
      <w:lvlJc w:val="left"/>
      <w:pPr>
        <w:ind w:left="5694" w:hanging="360"/>
      </w:pPr>
      <w:rPr>
        <w:rFonts w:ascii="Courier New" w:hAnsi="Courier New" w:cs="Courier New" w:hint="default"/>
      </w:rPr>
    </w:lvl>
    <w:lvl w:ilvl="8" w:tplc="041F0005" w:tentative="1">
      <w:start w:val="1"/>
      <w:numFmt w:val="bullet"/>
      <w:lvlText w:val=""/>
      <w:lvlJc w:val="left"/>
      <w:pPr>
        <w:ind w:left="6414" w:hanging="360"/>
      </w:pPr>
      <w:rPr>
        <w:rFonts w:ascii="Wingdings" w:hAnsi="Wingdings" w:hint="default"/>
      </w:rPr>
    </w:lvl>
  </w:abstractNum>
  <w:abstractNum w:abstractNumId="5" w15:restartNumberingAfterBreak="0">
    <w:nsid w:val="341F56A3"/>
    <w:multiLevelType w:val="hybridMultilevel"/>
    <w:tmpl w:val="FBB4ADD6"/>
    <w:lvl w:ilvl="0" w:tplc="A836A21E">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3835E5"/>
    <w:multiLevelType w:val="hybridMultilevel"/>
    <w:tmpl w:val="59CAF72A"/>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40506DEC"/>
    <w:multiLevelType w:val="hybridMultilevel"/>
    <w:tmpl w:val="AAC0163E"/>
    <w:lvl w:ilvl="0" w:tplc="13284F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5B2975"/>
    <w:multiLevelType w:val="hybridMultilevel"/>
    <w:tmpl w:val="698CA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3979BB"/>
    <w:multiLevelType w:val="hybridMultilevel"/>
    <w:tmpl w:val="A7BC5450"/>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0" w15:restartNumberingAfterBreak="0">
    <w:nsid w:val="4A1A0C70"/>
    <w:multiLevelType w:val="hybridMultilevel"/>
    <w:tmpl w:val="875685BC"/>
    <w:lvl w:ilvl="0" w:tplc="907EA08C">
      <w:start w:val="1"/>
      <w:numFmt w:val="upperRoman"/>
      <w:lvlText w:val="%1-"/>
      <w:lvlJc w:val="left"/>
      <w:pPr>
        <w:ind w:left="294" w:hanging="72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4D991B25"/>
    <w:multiLevelType w:val="hybridMultilevel"/>
    <w:tmpl w:val="506EF086"/>
    <w:lvl w:ilvl="0" w:tplc="66C4C656">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9632C8"/>
    <w:multiLevelType w:val="hybridMultilevel"/>
    <w:tmpl w:val="6A467984"/>
    <w:lvl w:ilvl="0" w:tplc="104CAF60">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3" w15:restartNumberingAfterBreak="0">
    <w:nsid w:val="53A40E98"/>
    <w:multiLevelType w:val="hybridMultilevel"/>
    <w:tmpl w:val="F75C3F16"/>
    <w:lvl w:ilvl="0" w:tplc="B95C7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A23DC7"/>
    <w:multiLevelType w:val="hybridMultilevel"/>
    <w:tmpl w:val="CB06309C"/>
    <w:lvl w:ilvl="0" w:tplc="1CB47BFE">
      <w:start w:val="1"/>
      <w:numFmt w:val="decimal"/>
      <w:lvlText w:val="%1-"/>
      <w:lvlJc w:val="left"/>
      <w:pPr>
        <w:ind w:left="360" w:hanging="360"/>
      </w:pPr>
      <w:rPr>
        <w:rFonts w:hint="default"/>
        <w:b/>
        <w:bCs/>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5" w15:restartNumberingAfterBreak="0">
    <w:nsid w:val="72B715C7"/>
    <w:multiLevelType w:val="hybridMultilevel"/>
    <w:tmpl w:val="F0462F60"/>
    <w:lvl w:ilvl="0" w:tplc="D924BD9A">
      <w:start w:val="1"/>
      <w:numFmt w:val="decimal"/>
      <w:lvlText w:val="%1."/>
      <w:lvlJc w:val="left"/>
      <w:pPr>
        <w:ind w:left="1440" w:hanging="360"/>
      </w:pPr>
      <w:rPr>
        <w:rFonts w:hint="default"/>
        <w:b/>
        <w:bCs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48140A9"/>
    <w:multiLevelType w:val="hybridMultilevel"/>
    <w:tmpl w:val="CEDE9F3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7" w15:restartNumberingAfterBreak="0">
    <w:nsid w:val="7D2A1ADE"/>
    <w:multiLevelType w:val="hybridMultilevel"/>
    <w:tmpl w:val="FE967D96"/>
    <w:lvl w:ilvl="0" w:tplc="041F000B">
      <w:start w:val="1"/>
      <w:numFmt w:val="bullet"/>
      <w:lvlText w:val=""/>
      <w:lvlJc w:val="left"/>
      <w:pPr>
        <w:ind w:left="345" w:hanging="360"/>
      </w:pPr>
      <w:rPr>
        <w:rFonts w:ascii="Wingdings" w:hAnsi="Wingdings" w:hint="default"/>
      </w:rPr>
    </w:lvl>
    <w:lvl w:ilvl="1" w:tplc="041F0003" w:tentative="1">
      <w:start w:val="1"/>
      <w:numFmt w:val="bullet"/>
      <w:lvlText w:val="o"/>
      <w:lvlJc w:val="left"/>
      <w:pPr>
        <w:ind w:left="1065" w:hanging="360"/>
      </w:pPr>
      <w:rPr>
        <w:rFonts w:ascii="Courier New" w:hAnsi="Courier New" w:cs="Courier New" w:hint="default"/>
      </w:rPr>
    </w:lvl>
    <w:lvl w:ilvl="2" w:tplc="041F0005" w:tentative="1">
      <w:start w:val="1"/>
      <w:numFmt w:val="bullet"/>
      <w:lvlText w:val=""/>
      <w:lvlJc w:val="left"/>
      <w:pPr>
        <w:ind w:left="1785" w:hanging="360"/>
      </w:pPr>
      <w:rPr>
        <w:rFonts w:ascii="Wingdings" w:hAnsi="Wingdings" w:hint="default"/>
      </w:rPr>
    </w:lvl>
    <w:lvl w:ilvl="3" w:tplc="041F0001" w:tentative="1">
      <w:start w:val="1"/>
      <w:numFmt w:val="bullet"/>
      <w:lvlText w:val=""/>
      <w:lvlJc w:val="left"/>
      <w:pPr>
        <w:ind w:left="2505" w:hanging="360"/>
      </w:pPr>
      <w:rPr>
        <w:rFonts w:ascii="Symbol" w:hAnsi="Symbol" w:hint="default"/>
      </w:rPr>
    </w:lvl>
    <w:lvl w:ilvl="4" w:tplc="041F0003" w:tentative="1">
      <w:start w:val="1"/>
      <w:numFmt w:val="bullet"/>
      <w:lvlText w:val="o"/>
      <w:lvlJc w:val="left"/>
      <w:pPr>
        <w:ind w:left="3225" w:hanging="360"/>
      </w:pPr>
      <w:rPr>
        <w:rFonts w:ascii="Courier New" w:hAnsi="Courier New" w:cs="Courier New" w:hint="default"/>
      </w:rPr>
    </w:lvl>
    <w:lvl w:ilvl="5" w:tplc="041F0005" w:tentative="1">
      <w:start w:val="1"/>
      <w:numFmt w:val="bullet"/>
      <w:lvlText w:val=""/>
      <w:lvlJc w:val="left"/>
      <w:pPr>
        <w:ind w:left="3945" w:hanging="360"/>
      </w:pPr>
      <w:rPr>
        <w:rFonts w:ascii="Wingdings" w:hAnsi="Wingdings" w:hint="default"/>
      </w:rPr>
    </w:lvl>
    <w:lvl w:ilvl="6" w:tplc="041F0001" w:tentative="1">
      <w:start w:val="1"/>
      <w:numFmt w:val="bullet"/>
      <w:lvlText w:val=""/>
      <w:lvlJc w:val="left"/>
      <w:pPr>
        <w:ind w:left="4665" w:hanging="360"/>
      </w:pPr>
      <w:rPr>
        <w:rFonts w:ascii="Symbol" w:hAnsi="Symbol" w:hint="default"/>
      </w:rPr>
    </w:lvl>
    <w:lvl w:ilvl="7" w:tplc="041F0003" w:tentative="1">
      <w:start w:val="1"/>
      <w:numFmt w:val="bullet"/>
      <w:lvlText w:val="o"/>
      <w:lvlJc w:val="left"/>
      <w:pPr>
        <w:ind w:left="5385" w:hanging="360"/>
      </w:pPr>
      <w:rPr>
        <w:rFonts w:ascii="Courier New" w:hAnsi="Courier New" w:cs="Courier New" w:hint="default"/>
      </w:rPr>
    </w:lvl>
    <w:lvl w:ilvl="8" w:tplc="041F0005" w:tentative="1">
      <w:start w:val="1"/>
      <w:numFmt w:val="bullet"/>
      <w:lvlText w:val=""/>
      <w:lvlJc w:val="left"/>
      <w:pPr>
        <w:ind w:left="6105" w:hanging="360"/>
      </w:pPr>
      <w:rPr>
        <w:rFonts w:ascii="Wingdings" w:hAnsi="Wingdings" w:hint="default"/>
      </w:rPr>
    </w:lvl>
  </w:abstractNum>
  <w:num w:numId="1" w16cid:durableId="1069569997">
    <w:abstractNumId w:val="12"/>
  </w:num>
  <w:num w:numId="2" w16cid:durableId="85270985">
    <w:abstractNumId w:val="17"/>
  </w:num>
  <w:num w:numId="3" w16cid:durableId="1706058310">
    <w:abstractNumId w:val="10"/>
  </w:num>
  <w:num w:numId="4" w16cid:durableId="573394629">
    <w:abstractNumId w:val="9"/>
  </w:num>
  <w:num w:numId="5" w16cid:durableId="1595474396">
    <w:abstractNumId w:val="14"/>
  </w:num>
  <w:num w:numId="6" w16cid:durableId="1421559743">
    <w:abstractNumId w:val="4"/>
  </w:num>
  <w:num w:numId="7" w16cid:durableId="1815247136">
    <w:abstractNumId w:val="1"/>
  </w:num>
  <w:num w:numId="8" w16cid:durableId="980888147">
    <w:abstractNumId w:val="16"/>
  </w:num>
  <w:num w:numId="9" w16cid:durableId="922570091">
    <w:abstractNumId w:val="6"/>
  </w:num>
  <w:num w:numId="10" w16cid:durableId="504902999">
    <w:abstractNumId w:val="7"/>
  </w:num>
  <w:num w:numId="11" w16cid:durableId="522666662">
    <w:abstractNumId w:val="2"/>
  </w:num>
  <w:num w:numId="12" w16cid:durableId="1497770848">
    <w:abstractNumId w:val="11"/>
  </w:num>
  <w:num w:numId="13" w16cid:durableId="30351373">
    <w:abstractNumId w:val="5"/>
  </w:num>
  <w:num w:numId="14" w16cid:durableId="715738767">
    <w:abstractNumId w:val="0"/>
  </w:num>
  <w:num w:numId="15" w16cid:durableId="1654405588">
    <w:abstractNumId w:val="8"/>
  </w:num>
  <w:num w:numId="16" w16cid:durableId="1563056880">
    <w:abstractNumId w:val="15"/>
  </w:num>
  <w:num w:numId="17" w16cid:durableId="644819929">
    <w:abstractNumId w:val="13"/>
  </w:num>
  <w:num w:numId="18" w16cid:durableId="82384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08"/>
    <w:rsid w:val="0001202D"/>
    <w:rsid w:val="0001475C"/>
    <w:rsid w:val="00017482"/>
    <w:rsid w:val="00017C4C"/>
    <w:rsid w:val="00020699"/>
    <w:rsid w:val="00044546"/>
    <w:rsid w:val="000445B8"/>
    <w:rsid w:val="0006038D"/>
    <w:rsid w:val="000604B2"/>
    <w:rsid w:val="00063C35"/>
    <w:rsid w:val="000B0401"/>
    <w:rsid w:val="000B16C5"/>
    <w:rsid w:val="000B47ED"/>
    <w:rsid w:val="000C1A49"/>
    <w:rsid w:val="000C59F2"/>
    <w:rsid w:val="000D2B4F"/>
    <w:rsid w:val="000E4009"/>
    <w:rsid w:val="000E6965"/>
    <w:rsid w:val="000F32E6"/>
    <w:rsid w:val="000F64FF"/>
    <w:rsid w:val="00101679"/>
    <w:rsid w:val="00114F70"/>
    <w:rsid w:val="00130187"/>
    <w:rsid w:val="00137678"/>
    <w:rsid w:val="001667F1"/>
    <w:rsid w:val="001726AC"/>
    <w:rsid w:val="00173331"/>
    <w:rsid w:val="00190763"/>
    <w:rsid w:val="00192C01"/>
    <w:rsid w:val="001A0833"/>
    <w:rsid w:val="001A4BA3"/>
    <w:rsid w:val="001B1544"/>
    <w:rsid w:val="001C25D9"/>
    <w:rsid w:val="001C6F1E"/>
    <w:rsid w:val="001D0E08"/>
    <w:rsid w:val="001D1E82"/>
    <w:rsid w:val="001D7216"/>
    <w:rsid w:val="001E3177"/>
    <w:rsid w:val="001F0949"/>
    <w:rsid w:val="00203C44"/>
    <w:rsid w:val="0020446D"/>
    <w:rsid w:val="00222FE5"/>
    <w:rsid w:val="00230E6D"/>
    <w:rsid w:val="00242419"/>
    <w:rsid w:val="00250746"/>
    <w:rsid w:val="00251F40"/>
    <w:rsid w:val="00255021"/>
    <w:rsid w:val="00262193"/>
    <w:rsid w:val="002641F7"/>
    <w:rsid w:val="002666E7"/>
    <w:rsid w:val="00266B75"/>
    <w:rsid w:val="00280433"/>
    <w:rsid w:val="00284535"/>
    <w:rsid w:val="00287A18"/>
    <w:rsid w:val="002A6AA2"/>
    <w:rsid w:val="002B331E"/>
    <w:rsid w:val="002E0D7C"/>
    <w:rsid w:val="002F1BE3"/>
    <w:rsid w:val="003011E8"/>
    <w:rsid w:val="003015A1"/>
    <w:rsid w:val="00314C56"/>
    <w:rsid w:val="00324324"/>
    <w:rsid w:val="0033246E"/>
    <w:rsid w:val="00332FA0"/>
    <w:rsid w:val="003363F1"/>
    <w:rsid w:val="003407E4"/>
    <w:rsid w:val="0034108A"/>
    <w:rsid w:val="0035251A"/>
    <w:rsid w:val="00383B2F"/>
    <w:rsid w:val="0039500A"/>
    <w:rsid w:val="003B0B1F"/>
    <w:rsid w:val="003C1DAF"/>
    <w:rsid w:val="003D38F0"/>
    <w:rsid w:val="003F764C"/>
    <w:rsid w:val="0040253C"/>
    <w:rsid w:val="004252BA"/>
    <w:rsid w:val="00432988"/>
    <w:rsid w:val="00463D2E"/>
    <w:rsid w:val="0046796A"/>
    <w:rsid w:val="00477533"/>
    <w:rsid w:val="004B6B95"/>
    <w:rsid w:val="004C03CF"/>
    <w:rsid w:val="004C4F21"/>
    <w:rsid w:val="004E074F"/>
    <w:rsid w:val="004E36C9"/>
    <w:rsid w:val="004E663D"/>
    <w:rsid w:val="004F190B"/>
    <w:rsid w:val="004F1FD9"/>
    <w:rsid w:val="004F66B4"/>
    <w:rsid w:val="004F7619"/>
    <w:rsid w:val="004F7FD6"/>
    <w:rsid w:val="005045D6"/>
    <w:rsid w:val="00521CD1"/>
    <w:rsid w:val="005253BB"/>
    <w:rsid w:val="00527B87"/>
    <w:rsid w:val="005319CB"/>
    <w:rsid w:val="00535070"/>
    <w:rsid w:val="00535317"/>
    <w:rsid w:val="00536D11"/>
    <w:rsid w:val="005377D7"/>
    <w:rsid w:val="0054361C"/>
    <w:rsid w:val="005450C8"/>
    <w:rsid w:val="005706FC"/>
    <w:rsid w:val="00584656"/>
    <w:rsid w:val="00593F76"/>
    <w:rsid w:val="005B2C36"/>
    <w:rsid w:val="005F1FF4"/>
    <w:rsid w:val="006116FB"/>
    <w:rsid w:val="00617724"/>
    <w:rsid w:val="0062349D"/>
    <w:rsid w:val="00637364"/>
    <w:rsid w:val="006569E1"/>
    <w:rsid w:val="00680FF3"/>
    <w:rsid w:val="00682FDA"/>
    <w:rsid w:val="006B1ADD"/>
    <w:rsid w:val="006C1E16"/>
    <w:rsid w:val="006C584C"/>
    <w:rsid w:val="006D6749"/>
    <w:rsid w:val="006E04AF"/>
    <w:rsid w:val="006E2154"/>
    <w:rsid w:val="006F3484"/>
    <w:rsid w:val="00703331"/>
    <w:rsid w:val="00705472"/>
    <w:rsid w:val="0071117A"/>
    <w:rsid w:val="007143D8"/>
    <w:rsid w:val="007200DD"/>
    <w:rsid w:val="007227D9"/>
    <w:rsid w:val="0073030D"/>
    <w:rsid w:val="00731750"/>
    <w:rsid w:val="007333A7"/>
    <w:rsid w:val="007350BE"/>
    <w:rsid w:val="00744838"/>
    <w:rsid w:val="00764DB6"/>
    <w:rsid w:val="00771A9B"/>
    <w:rsid w:val="00776375"/>
    <w:rsid w:val="00782BBF"/>
    <w:rsid w:val="0078761B"/>
    <w:rsid w:val="00796018"/>
    <w:rsid w:val="0079747F"/>
    <w:rsid w:val="007D13CF"/>
    <w:rsid w:val="007E5F08"/>
    <w:rsid w:val="008049EC"/>
    <w:rsid w:val="00807FAD"/>
    <w:rsid w:val="00817A2E"/>
    <w:rsid w:val="00832535"/>
    <w:rsid w:val="008330C6"/>
    <w:rsid w:val="008601AB"/>
    <w:rsid w:val="00860C74"/>
    <w:rsid w:val="00861E9C"/>
    <w:rsid w:val="008B5667"/>
    <w:rsid w:val="008B78D2"/>
    <w:rsid w:val="008E0694"/>
    <w:rsid w:val="008F6399"/>
    <w:rsid w:val="00940D74"/>
    <w:rsid w:val="00941168"/>
    <w:rsid w:val="009432F5"/>
    <w:rsid w:val="009479B9"/>
    <w:rsid w:val="00954957"/>
    <w:rsid w:val="009A65D9"/>
    <w:rsid w:val="009B2D96"/>
    <w:rsid w:val="009C1009"/>
    <w:rsid w:val="009C3B7D"/>
    <w:rsid w:val="009C7D21"/>
    <w:rsid w:val="009F2F80"/>
    <w:rsid w:val="009F45C9"/>
    <w:rsid w:val="00A0420D"/>
    <w:rsid w:val="00A047BB"/>
    <w:rsid w:val="00A21C50"/>
    <w:rsid w:val="00A32911"/>
    <w:rsid w:val="00A715FC"/>
    <w:rsid w:val="00A80785"/>
    <w:rsid w:val="00A809D1"/>
    <w:rsid w:val="00A81751"/>
    <w:rsid w:val="00A83FEB"/>
    <w:rsid w:val="00A95648"/>
    <w:rsid w:val="00AB25C4"/>
    <w:rsid w:val="00AD0AA6"/>
    <w:rsid w:val="00B1593B"/>
    <w:rsid w:val="00B16A95"/>
    <w:rsid w:val="00B251CE"/>
    <w:rsid w:val="00B321BA"/>
    <w:rsid w:val="00B35740"/>
    <w:rsid w:val="00B4003C"/>
    <w:rsid w:val="00B548EE"/>
    <w:rsid w:val="00B60B4A"/>
    <w:rsid w:val="00B630B8"/>
    <w:rsid w:val="00B76040"/>
    <w:rsid w:val="00B91E4C"/>
    <w:rsid w:val="00BA7776"/>
    <w:rsid w:val="00BC081C"/>
    <w:rsid w:val="00BE0EFB"/>
    <w:rsid w:val="00BE3B39"/>
    <w:rsid w:val="00BE68F2"/>
    <w:rsid w:val="00BF177C"/>
    <w:rsid w:val="00C1251A"/>
    <w:rsid w:val="00C1576E"/>
    <w:rsid w:val="00C35037"/>
    <w:rsid w:val="00C45B47"/>
    <w:rsid w:val="00C45BD9"/>
    <w:rsid w:val="00C463F9"/>
    <w:rsid w:val="00C52456"/>
    <w:rsid w:val="00C6601A"/>
    <w:rsid w:val="00C81907"/>
    <w:rsid w:val="00C83C29"/>
    <w:rsid w:val="00C858AC"/>
    <w:rsid w:val="00C945F7"/>
    <w:rsid w:val="00C9671E"/>
    <w:rsid w:val="00C974FC"/>
    <w:rsid w:val="00CA1738"/>
    <w:rsid w:val="00CA5425"/>
    <w:rsid w:val="00CB5A98"/>
    <w:rsid w:val="00CE6102"/>
    <w:rsid w:val="00D20FFB"/>
    <w:rsid w:val="00D25F3D"/>
    <w:rsid w:val="00D43EC8"/>
    <w:rsid w:val="00D46EFC"/>
    <w:rsid w:val="00D4714B"/>
    <w:rsid w:val="00D5461F"/>
    <w:rsid w:val="00D63699"/>
    <w:rsid w:val="00D72650"/>
    <w:rsid w:val="00D90FAA"/>
    <w:rsid w:val="00DB70F2"/>
    <w:rsid w:val="00DC067E"/>
    <w:rsid w:val="00DC54D5"/>
    <w:rsid w:val="00DD166A"/>
    <w:rsid w:val="00DE068E"/>
    <w:rsid w:val="00DE2A76"/>
    <w:rsid w:val="00DF6EF5"/>
    <w:rsid w:val="00DF7999"/>
    <w:rsid w:val="00E00366"/>
    <w:rsid w:val="00E01A27"/>
    <w:rsid w:val="00E07990"/>
    <w:rsid w:val="00E1619D"/>
    <w:rsid w:val="00E17377"/>
    <w:rsid w:val="00E216AD"/>
    <w:rsid w:val="00E35EDF"/>
    <w:rsid w:val="00E52C73"/>
    <w:rsid w:val="00E6111F"/>
    <w:rsid w:val="00E72632"/>
    <w:rsid w:val="00E7279B"/>
    <w:rsid w:val="00E739B7"/>
    <w:rsid w:val="00E73F3C"/>
    <w:rsid w:val="00E8451C"/>
    <w:rsid w:val="00E904E6"/>
    <w:rsid w:val="00E906E1"/>
    <w:rsid w:val="00EA6639"/>
    <w:rsid w:val="00EA7F1A"/>
    <w:rsid w:val="00EC0DA0"/>
    <w:rsid w:val="00ED4FAB"/>
    <w:rsid w:val="00EE206E"/>
    <w:rsid w:val="00F022E1"/>
    <w:rsid w:val="00F10A23"/>
    <w:rsid w:val="00F22EB2"/>
    <w:rsid w:val="00F35740"/>
    <w:rsid w:val="00F37DD2"/>
    <w:rsid w:val="00F460A4"/>
    <w:rsid w:val="00F516B3"/>
    <w:rsid w:val="00F618B5"/>
    <w:rsid w:val="00F70DE2"/>
    <w:rsid w:val="00F748B6"/>
    <w:rsid w:val="00F9132A"/>
    <w:rsid w:val="00F93CDD"/>
    <w:rsid w:val="00F93F8D"/>
    <w:rsid w:val="00F93FB7"/>
    <w:rsid w:val="00F95CBE"/>
    <w:rsid w:val="00FA022A"/>
    <w:rsid w:val="00FA14FE"/>
    <w:rsid w:val="00FB6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E583"/>
  <w15:chartTrackingRefBased/>
  <w15:docId w15:val="{74708FF2-73D0-46C1-B7C5-C2A6B4F4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17482"/>
    <w:pPr>
      <w:spacing w:line="240" w:lineRule="auto"/>
      <w:jc w:val="left"/>
    </w:pPr>
    <w:rPr>
      <w:rFonts w:ascii="Calibri" w:eastAsia="Calibri" w:hAnsi="Calibri" w:cs="Times New Roman"/>
    </w:rPr>
  </w:style>
  <w:style w:type="character" w:customStyle="1" w:styleId="DipnotMetniChar">
    <w:name w:val="Dipnot Metni Char"/>
    <w:basedOn w:val="VarsaylanParagrafYazTipi"/>
    <w:link w:val="DipnotMetni"/>
    <w:uiPriority w:val="99"/>
    <w:semiHidden/>
    <w:rsid w:val="00017482"/>
    <w:rPr>
      <w:rFonts w:ascii="Calibri" w:eastAsia="Calibri" w:hAnsi="Calibri" w:cs="Times New Roman"/>
    </w:rPr>
  </w:style>
  <w:style w:type="character" w:styleId="DipnotBavurusu">
    <w:name w:val="footnote reference"/>
    <w:basedOn w:val="VarsaylanParagrafYazTipi"/>
    <w:uiPriority w:val="99"/>
    <w:semiHidden/>
    <w:unhideWhenUsed/>
    <w:rsid w:val="00017482"/>
    <w:rPr>
      <w:vertAlign w:val="superscript"/>
    </w:rPr>
  </w:style>
  <w:style w:type="paragraph" w:styleId="ListeParagraf">
    <w:name w:val="List Paragraph"/>
    <w:basedOn w:val="Normal"/>
    <w:uiPriority w:val="34"/>
    <w:qFormat/>
    <w:rsid w:val="00B630B8"/>
    <w:pPr>
      <w:ind w:left="720"/>
      <w:contextualSpacing/>
    </w:pPr>
  </w:style>
  <w:style w:type="paragraph" w:styleId="stBilgi">
    <w:name w:val="header"/>
    <w:basedOn w:val="Normal"/>
    <w:link w:val="stBilgiChar"/>
    <w:uiPriority w:val="99"/>
    <w:unhideWhenUsed/>
    <w:rsid w:val="00E1619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1619D"/>
  </w:style>
  <w:style w:type="paragraph" w:styleId="AltBilgi">
    <w:name w:val="footer"/>
    <w:basedOn w:val="Normal"/>
    <w:link w:val="AltBilgiChar"/>
    <w:uiPriority w:val="99"/>
    <w:unhideWhenUsed/>
    <w:rsid w:val="00E1619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1619D"/>
  </w:style>
  <w:style w:type="paragraph" w:customStyle="1" w:styleId="metin">
    <w:name w:val="metin"/>
    <w:basedOn w:val="Normal"/>
    <w:rsid w:val="00C1576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ortabalkbold">
    <w:name w:val="ortabalkbold"/>
    <w:basedOn w:val="Normal"/>
    <w:rsid w:val="00C1576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5132-3A5E-4BBE-AAC3-305C8360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1405</Words>
  <Characters>8012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dc:creator>
  <cp:keywords/>
  <dc:description/>
  <cp:lastModifiedBy>Ziynet Özçelik</cp:lastModifiedBy>
  <cp:revision>4</cp:revision>
  <dcterms:created xsi:type="dcterms:W3CDTF">2023-08-11T16:02:00Z</dcterms:created>
  <dcterms:modified xsi:type="dcterms:W3CDTF">2023-08-11T17:06:00Z</dcterms:modified>
</cp:coreProperties>
</file>